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jc w:val="right"/>
        <w:rPr>
          <w:rFonts w:ascii="Calibri" w:hAnsi="Calibri" w:eastAsia="黑体"/>
          <w:color w:val="1F3864" w:themeColor="accent5" w:themeShade="80"/>
          <w:sz w:val="56"/>
          <w:szCs w:val="28"/>
        </w:rPr>
      </w:pPr>
    </w:p>
    <w:p>
      <w:pPr>
        <w:spacing w:line="1200" w:lineRule="exact"/>
        <w:jc w:val="right"/>
        <w:rPr>
          <w:rFonts w:ascii="Calibri" w:hAnsi="Calibri" w:eastAsia="黑体"/>
          <w:color w:val="2E75B5" w:themeColor="accent1" w:themeShade="BF"/>
          <w:sz w:val="96"/>
          <w:szCs w:val="80"/>
        </w:rPr>
      </w:pPr>
      <w:r>
        <w:rPr>
          <w:rFonts w:hint="eastAsia" w:ascii="Calibri" w:hAnsi="Calibri" w:eastAsia="黑体"/>
          <w:color w:val="2E75B5" w:themeColor="accent1" w:themeShade="BF"/>
          <w:sz w:val="96"/>
          <w:szCs w:val="80"/>
        </w:rPr>
        <w:t>欧盟科技创新实践</w:t>
      </w:r>
    </w:p>
    <w:p>
      <w:pPr>
        <w:spacing w:line="1200" w:lineRule="exact"/>
        <w:jc w:val="right"/>
        <w:rPr>
          <w:rFonts w:ascii="Calibri" w:hAnsi="Calibri" w:eastAsia="黑体"/>
          <w:color w:val="7E7E7E" w:themeColor="text1" w:themeTint="80"/>
          <w:sz w:val="70"/>
          <w:szCs w:val="70"/>
        </w:rPr>
      </w:pPr>
      <w:r>
        <w:rPr>
          <w:rFonts w:ascii="Calibri" w:hAnsi="Calibri" w:eastAsia="黑体"/>
          <w:color w:val="7E7E7E" w:themeColor="text1" w:themeTint="80"/>
          <w:sz w:val="70"/>
          <w:szCs w:val="70"/>
        </w:rPr>
        <w:t>2019·夏季</w:t>
      </w:r>
      <w:r>
        <w:rPr>
          <w:rFonts w:hint="eastAsia" w:ascii="Calibri" w:hAnsi="Calibri" w:eastAsia="黑体"/>
          <w:color w:val="7E7E7E" w:themeColor="text1" w:themeTint="80"/>
          <w:sz w:val="70"/>
          <w:szCs w:val="70"/>
        </w:rPr>
        <w:t>短期</w:t>
      </w:r>
      <w:r>
        <w:rPr>
          <w:rFonts w:ascii="Calibri" w:hAnsi="Calibri" w:eastAsia="黑体"/>
          <w:color w:val="7E7E7E" w:themeColor="text1" w:themeTint="80"/>
          <w:sz w:val="70"/>
          <w:szCs w:val="70"/>
        </w:rPr>
        <w:t>项</w:t>
      </w:r>
      <w:r>
        <w:rPr>
          <w:rFonts w:hint="eastAsia" w:ascii="Calibri" w:hAnsi="Calibri" w:eastAsia="黑体"/>
          <w:color w:val="7E7E7E" w:themeColor="text1" w:themeTint="80"/>
          <w:sz w:val="70"/>
          <w:szCs w:val="70"/>
        </w:rPr>
        <w:t>目</w:t>
      </w:r>
    </w:p>
    <w:p>
      <w:pPr>
        <w:wordWrap w:val="0"/>
        <w:jc w:val="right"/>
        <w:rPr>
          <w:rFonts w:ascii="Calibri" w:hAnsi="Calibri" w:eastAsia="黑体"/>
          <w:color w:val="3F3F3F" w:themeColor="text1" w:themeTint="BF"/>
          <w:sz w:val="28"/>
          <w:szCs w:val="28"/>
        </w:rPr>
      </w:pPr>
      <w:r>
        <w:rPr>
          <w:rFonts w:ascii="Calibri" w:hAnsi="Calibri" w:eastAsia="黑体"/>
          <w:color w:val="3F3F3F" w:themeColor="text1" w:themeTint="BF"/>
          <w:sz w:val="28"/>
          <w:szCs w:val="28"/>
        </w:rPr>
        <w:t>EU Science and Technology Innovation Studies Summer Program</w:t>
      </w:r>
      <w:r>
        <w:rPr>
          <w:rFonts w:hint="eastAsia" w:ascii="Calibri" w:hAnsi="Calibri" w:eastAsia="黑体"/>
          <w:color w:val="3F3F3F" w:themeColor="text1" w:themeTint="BF"/>
          <w:sz w:val="28"/>
          <w:szCs w:val="28"/>
        </w:rPr>
        <w:t>（2</w:t>
      </w:r>
      <w:r>
        <w:rPr>
          <w:rFonts w:ascii="Calibri" w:hAnsi="Calibri" w:eastAsia="黑体"/>
          <w:color w:val="3F3F3F" w:themeColor="text1" w:themeTint="BF"/>
          <w:sz w:val="28"/>
          <w:szCs w:val="28"/>
        </w:rPr>
        <w:t>019</w:t>
      </w:r>
      <w:r>
        <w:rPr>
          <w:rFonts w:hint="eastAsia" w:ascii="Calibri" w:hAnsi="Calibri" w:eastAsia="黑体"/>
          <w:color w:val="3F3F3F" w:themeColor="text1" w:themeTint="BF"/>
          <w:sz w:val="28"/>
          <w:szCs w:val="28"/>
        </w:rPr>
        <w:t>）</w:t>
      </w: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</w:pPr>
    </w:p>
    <w:p>
      <w:pPr>
        <w:spacing w:line="400" w:lineRule="exact"/>
        <w:rPr>
          <w:rFonts w:ascii="Calibri" w:hAnsi="Calibri" w:eastAsia="黑体"/>
          <w:color w:val="3F3F3F" w:themeColor="text1" w:themeTint="BF"/>
          <w:sz w:val="21"/>
          <w:szCs w:val="21"/>
        </w:rPr>
      </w:pPr>
      <w:r>
        <w:rPr>
          <w:rFonts w:ascii="Calibri" w:hAnsi="Calibri" w:eastAsia="黑体"/>
          <w:color w:val="3F3F3F" w:themeColor="text1" w:themeTint="BF"/>
          <w:sz w:val="21"/>
          <w:szCs w:val="21"/>
        </w:rPr>
        <w:t>项目类型：暑期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定制</w:t>
      </w:r>
      <w:r>
        <w:rPr>
          <w:rFonts w:ascii="Calibri" w:hAnsi="Calibri" w:eastAsia="黑体"/>
          <w:color w:val="3F3F3F" w:themeColor="text1" w:themeTint="BF"/>
          <w:sz w:val="21"/>
          <w:szCs w:val="21"/>
        </w:rPr>
        <w:t>课程</w:t>
      </w:r>
    </w:p>
    <w:p>
      <w:pPr>
        <w:spacing w:line="400" w:lineRule="exact"/>
        <w:rPr>
          <w:rFonts w:ascii="Calibri" w:hAnsi="Calibri" w:eastAsia="黑体"/>
          <w:color w:val="3F3F3F" w:themeColor="text1" w:themeTint="BF"/>
          <w:sz w:val="21"/>
          <w:szCs w:val="21"/>
        </w:rPr>
      </w:pPr>
      <w:r>
        <w:rPr>
          <w:rFonts w:ascii="Calibri" w:hAnsi="Calibri" w:eastAsia="黑体"/>
          <w:color w:val="3F3F3F" w:themeColor="text1" w:themeTint="BF"/>
          <w:sz w:val="21"/>
          <w:szCs w:val="21"/>
        </w:rPr>
        <w:t>费用区间：4280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欧元（第一批报名）/</w:t>
      </w:r>
      <w:r>
        <w:rPr>
          <w:rFonts w:ascii="Calibri" w:hAnsi="Calibri" w:eastAsia="黑体"/>
          <w:color w:val="3F3F3F" w:themeColor="text1" w:themeTint="BF"/>
          <w:sz w:val="21"/>
          <w:szCs w:val="21"/>
        </w:rPr>
        <w:t xml:space="preserve"> 4580欧元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（第二批报名）</w:t>
      </w:r>
    </w:p>
    <w:p>
      <w:pPr>
        <w:spacing w:line="400" w:lineRule="exact"/>
        <w:rPr>
          <w:rFonts w:ascii="Calibri" w:hAnsi="Calibri" w:eastAsia="黑体"/>
          <w:color w:val="3F3F3F" w:themeColor="text1" w:themeTint="BF"/>
          <w:sz w:val="21"/>
          <w:szCs w:val="21"/>
        </w:rPr>
      </w:pP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项目名额：</w:t>
      </w:r>
      <w:r>
        <w:rPr>
          <w:rFonts w:ascii="Calibri" w:hAnsi="Calibri" w:eastAsia="黑体"/>
          <w:color w:val="3F3F3F" w:themeColor="text1" w:themeTint="BF"/>
          <w:sz w:val="21"/>
          <w:szCs w:val="21"/>
        </w:rPr>
        <w:t>40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人</w:t>
      </w:r>
    </w:p>
    <w:p>
      <w:pPr>
        <w:spacing w:line="400" w:lineRule="exact"/>
        <w:rPr>
          <w:rFonts w:ascii="Calibri" w:hAnsi="Calibri" w:eastAsia="黑体"/>
          <w:color w:val="3F3F3F" w:themeColor="text1" w:themeTint="BF"/>
          <w:sz w:val="21"/>
          <w:szCs w:val="21"/>
        </w:rPr>
      </w:pPr>
      <w:r>
        <w:rPr>
          <w:rFonts w:ascii="Calibri" w:hAnsi="Calibri" w:eastAsia="黑体"/>
          <w:color w:val="3F3F3F" w:themeColor="text1" w:themeTint="BF"/>
          <w:sz w:val="21"/>
          <w:szCs w:val="21"/>
        </w:rPr>
        <w:t>项目时段：2019年7月28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日—8月</w:t>
      </w:r>
      <w:r>
        <w:rPr>
          <w:rFonts w:ascii="Calibri" w:hAnsi="Calibri" w:eastAsia="黑体"/>
          <w:color w:val="3F3F3F" w:themeColor="text1" w:themeTint="BF"/>
          <w:sz w:val="21"/>
          <w:szCs w:val="21"/>
        </w:rPr>
        <w:t>19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日</w:t>
      </w:r>
    </w:p>
    <w:p>
      <w:pPr>
        <w:spacing w:line="400" w:lineRule="exact"/>
        <w:rPr>
          <w:rFonts w:ascii="Calibri" w:hAnsi="Calibri" w:eastAsia="黑体"/>
          <w:color w:val="3F3F3F" w:themeColor="text1" w:themeTint="BF"/>
          <w:sz w:val="21"/>
          <w:szCs w:val="21"/>
        </w:rPr>
      </w:pPr>
      <w:r>
        <w:rPr>
          <w:rFonts w:ascii="Calibri" w:hAnsi="Calibri" w:eastAsia="黑体"/>
          <w:color w:val="3F3F3F" w:themeColor="text1" w:themeTint="BF"/>
          <w:sz w:val="21"/>
          <w:szCs w:val="21"/>
        </w:rPr>
        <w:t>报名截至：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2</w:t>
      </w:r>
      <w:r>
        <w:rPr>
          <w:rFonts w:ascii="Calibri" w:hAnsi="Calibri" w:eastAsia="黑体"/>
          <w:color w:val="3F3F3F" w:themeColor="text1" w:themeTint="BF"/>
          <w:sz w:val="21"/>
          <w:szCs w:val="21"/>
        </w:rPr>
        <w:t>019年4月30日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（第一批）/</w:t>
      </w:r>
      <w:r>
        <w:rPr>
          <w:rFonts w:ascii="Calibri" w:hAnsi="Calibri" w:eastAsia="黑体"/>
          <w:color w:val="3F3F3F" w:themeColor="text1" w:themeTint="BF"/>
          <w:sz w:val="21"/>
          <w:szCs w:val="21"/>
        </w:rPr>
        <w:t xml:space="preserve"> 5月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3</w:t>
      </w:r>
      <w:r>
        <w:rPr>
          <w:rFonts w:ascii="Calibri" w:hAnsi="Calibri" w:eastAsia="黑体"/>
          <w:color w:val="3F3F3F" w:themeColor="text1" w:themeTint="BF"/>
          <w:sz w:val="21"/>
          <w:szCs w:val="21"/>
        </w:rPr>
        <w:t>0日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（第二批）</w:t>
      </w:r>
    </w:p>
    <w:p>
      <w:pPr>
        <w:spacing w:line="400" w:lineRule="exact"/>
        <w:rPr>
          <w:rFonts w:ascii="Calibri" w:hAnsi="Calibri" w:eastAsia="黑体"/>
          <w:color w:val="3F3F3F" w:themeColor="text1" w:themeTint="BF"/>
          <w:sz w:val="21"/>
          <w:szCs w:val="21"/>
        </w:rPr>
      </w:pPr>
      <w:r>
        <w:rPr>
          <w:rFonts w:ascii="Calibri" w:hAnsi="Calibri" w:eastAsia="黑体"/>
          <w:color w:val="3F3F3F" w:themeColor="text1" w:themeTint="BF"/>
          <w:sz w:val="21"/>
          <w:szCs w:val="21"/>
        </w:rPr>
        <w:t>培养方向：</w:t>
      </w:r>
      <w:r>
        <w:rPr>
          <w:rFonts w:hint="eastAsia" w:ascii="Calibri" w:hAnsi="Calibri" w:eastAsia="黑体"/>
          <w:color w:val="3F3F3F" w:themeColor="text1" w:themeTint="BF"/>
          <w:sz w:val="21"/>
          <w:szCs w:val="21"/>
        </w:rPr>
        <w:t>商业投资创新、工程科技</w:t>
      </w:r>
    </w:p>
    <w:p>
      <w:pPr>
        <w:rPr>
          <w:rFonts w:ascii="Calibri" w:hAnsi="Calibri" w:eastAsia="黑体"/>
          <w:color w:val="1F3864" w:themeColor="accent5" w:themeShade="80"/>
          <w:sz w:val="32"/>
          <w:szCs w:val="28"/>
        </w:rPr>
        <w:sectPr>
          <w:headerReference r:id="rId3" w:type="default"/>
          <w:pgSz w:w="11906" w:h="16838"/>
          <w:pgMar w:top="1440" w:right="1080" w:bottom="1440" w:left="1080" w:header="851" w:footer="992" w:gutter="0"/>
          <w:pgBorders w:offsetFrom="page">
            <w:top w:val="dashDotStroked" w:color="00B0F0" w:sz="24" w:space="24"/>
            <w:left w:val="dashDotStroked" w:color="00B0F0" w:sz="24" w:space="24"/>
            <w:bottom w:val="dashDotStroked" w:color="00B0F0" w:sz="24" w:space="24"/>
            <w:right w:val="dashDotStroked" w:color="00B0F0" w:sz="24" w:space="24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ascii="Calibri" w:hAnsi="Calibri" w:eastAsia="黑体"/>
          <w:color w:val="1F3864" w:themeColor="accent5" w:themeShade="80"/>
          <w:sz w:val="40"/>
          <w:szCs w:val="28"/>
        </w:rPr>
      </w:pPr>
      <w:r>
        <w:rPr>
          <w:rFonts w:hint="eastAsia" w:ascii="Calibri" w:hAnsi="Calibri" w:eastAsia="黑体"/>
          <w:color w:val="1F3864" w:themeColor="accent5" w:themeShade="80"/>
          <w:sz w:val="40"/>
          <w:szCs w:val="28"/>
        </w:rPr>
        <w:t>欧盟科技创新实践项目</w:t>
      </w:r>
    </w:p>
    <w:p>
      <w:pPr>
        <w:jc w:val="center"/>
        <w:rPr>
          <w:rFonts w:ascii="Calibri" w:hAnsi="Calibri" w:eastAsia="黑体"/>
          <w:color w:val="252525" w:themeColor="text1" w:themeTint="D9"/>
          <w:sz w:val="36"/>
          <w:szCs w:val="28"/>
        </w:rPr>
      </w:pPr>
      <w:r>
        <w:rPr>
          <w:rFonts w:ascii="Calibri" w:hAnsi="Calibri" w:eastAsia="黑体"/>
          <w:color w:val="252525" w:themeColor="text1" w:themeTint="D9"/>
          <w:sz w:val="36"/>
          <w:szCs w:val="28"/>
        </w:rPr>
        <w:t>2019年度</w:t>
      </w:r>
      <w:r>
        <w:rPr>
          <w:rFonts w:hint="eastAsia" w:ascii="Calibri" w:hAnsi="Calibri" w:eastAsia="黑体"/>
          <w:color w:val="252525" w:themeColor="text1" w:themeTint="D9"/>
          <w:sz w:val="36"/>
          <w:szCs w:val="28"/>
        </w:rPr>
        <w:t>夏季</w:t>
      </w:r>
      <w:r>
        <w:rPr>
          <w:rFonts w:ascii="Calibri" w:hAnsi="Calibri" w:eastAsia="黑体"/>
          <w:color w:val="252525" w:themeColor="text1" w:themeTint="D9"/>
          <w:sz w:val="36"/>
          <w:szCs w:val="28"/>
        </w:rPr>
        <w:t>招生简章</w:t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</w:pPr>
      <w:bookmarkStart w:id="0" w:name="_Toc2080285"/>
      <w:r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  <w:t>基本信息|Basic Information</w:t>
      </w:r>
      <w:bookmarkEnd w:id="0"/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项目标题：2019·夏·</w:t>
      </w:r>
      <w:r>
        <w:rPr>
          <w:rFonts w:hint="eastAsia" w:ascii="Calibri" w:hAnsi="Calibri" w:eastAsia="黑体"/>
          <w:color w:val="000000" w:themeColor="text1"/>
          <w:szCs w:val="21"/>
        </w:rPr>
        <w:t>欧盟科技创新实践项目（代码：OM</w:t>
      </w:r>
      <w:r>
        <w:rPr>
          <w:rFonts w:ascii="Calibri" w:hAnsi="Calibri" w:eastAsia="黑体"/>
          <w:color w:val="000000" w:themeColor="text1"/>
          <w:szCs w:val="21"/>
        </w:rPr>
        <w:t>26T</w:t>
      </w:r>
      <w:r>
        <w:rPr>
          <w:rFonts w:hint="eastAsia" w:ascii="Calibri" w:hAnsi="Calibri" w:eastAsia="黑体"/>
          <w:color w:val="000000" w:themeColor="text1"/>
          <w:szCs w:val="21"/>
        </w:rPr>
        <w:t>-EU-STI）</w:t>
      </w:r>
    </w:p>
    <w:p>
      <w:pPr>
        <w:pStyle w:val="12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主办单位：</w:t>
      </w:r>
      <w:r>
        <w:rPr>
          <w:rFonts w:hint="eastAsia" w:ascii="Calibri" w:hAnsi="Calibri" w:eastAsia="黑体"/>
          <w:color w:val="000000" w:themeColor="text1"/>
          <w:szCs w:val="21"/>
        </w:rPr>
        <w:t>欧中人文交流中心</w:t>
      </w:r>
      <w:r>
        <w:rPr>
          <w:rFonts w:ascii="Calibri" w:hAnsi="Calibri" w:eastAsia="黑体"/>
          <w:color w:val="000000" w:themeColor="text1"/>
          <w:szCs w:val="21"/>
        </w:rPr>
        <w:t>、环球翔飞教育集团</w:t>
      </w:r>
    </w:p>
    <w:p>
      <w:pPr>
        <w:spacing w:line="360" w:lineRule="exact"/>
        <w:rPr>
          <w:rFonts w:ascii="Calibri" w:hAnsi="Calibri" w:eastAsia="黑体"/>
          <w:color w:val="000000" w:themeColor="text1"/>
          <w:szCs w:val="21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</w:pPr>
      <w:bookmarkStart w:id="1" w:name="_Toc2080286"/>
      <w:r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  <w:t>项目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导语|Program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Lead-in</w:t>
      </w:r>
      <w:bookmarkEnd w:id="1"/>
    </w:p>
    <w:p>
      <w:pPr>
        <w:spacing w:line="360" w:lineRule="exact"/>
        <w:ind w:left="480" w:leftChars="200" w:firstLine="420" w:firstLineChars="200"/>
        <w:jc w:val="both"/>
        <w:rPr>
          <w:rFonts w:ascii="Calibri" w:hAnsi="Calibri" w:eastAsia="黑体" w:cstheme="minorBidi"/>
          <w:color w:val="000000" w:themeColor="text1"/>
          <w:kern w:val="2"/>
          <w:sz w:val="21"/>
          <w:szCs w:val="21"/>
        </w:rPr>
      </w:pPr>
      <w:r>
        <w:rPr>
          <w:rFonts w:hint="eastAsia" w:ascii="Calibri" w:hAnsi="Calibri" w:eastAsia="黑体" w:cstheme="minorBidi"/>
          <w:color w:val="000000" w:themeColor="text1"/>
          <w:kern w:val="2"/>
          <w:sz w:val="21"/>
          <w:szCs w:val="21"/>
        </w:rPr>
        <w:t>欧洲向来不缺乏科学技术及商业人文的创新企业和企业家精神。和美国不同的是欧洲大多科技创新和商业企业规模更加紧凑，历史更加悠久，研究方向更加服务于人文社会。在创新的前沿欧洲在物理理论，医学，机械工业，电子工业，纺织业，航空航天等很多方面拥有十分深厚的积累。</w:t>
      </w:r>
    </w:p>
    <w:p>
      <w:pPr>
        <w:spacing w:line="360" w:lineRule="exact"/>
        <w:ind w:left="480" w:leftChars="200" w:firstLine="420" w:firstLineChars="200"/>
        <w:jc w:val="both"/>
        <w:rPr>
          <w:rFonts w:hint="eastAsia" w:ascii="Calibri" w:hAnsi="Calibri" w:eastAsia="黑体" w:cstheme="minorBidi"/>
          <w:color w:val="000000" w:themeColor="text1"/>
          <w:kern w:val="2"/>
          <w:sz w:val="21"/>
          <w:szCs w:val="21"/>
          <w:lang w:val="en-US" w:eastAsia="zh-CN"/>
        </w:rPr>
      </w:pPr>
      <w:r>
        <w:rPr>
          <w:rFonts w:hint="eastAsia" w:ascii="Calibri" w:hAnsi="Calibri" w:eastAsia="黑体" w:cstheme="minorBidi"/>
          <w:color w:val="000000" w:themeColor="text1"/>
          <w:kern w:val="2"/>
          <w:sz w:val="21"/>
          <w:szCs w:val="21"/>
        </w:rPr>
        <w:t>此次项目将让参加者全访问了解欧洲的国际组织，学术机构，工业企业及商业机构在科学技术和商业创新上的独特视角，对话不同层次上的企业家，政府组织官员，教授和从业人员。让参加者了解人类科技和商业文明的过去，现在和未来</w:t>
      </w:r>
      <w:r>
        <w:rPr>
          <w:rFonts w:hint="eastAsia" w:ascii="Calibri" w:hAnsi="Calibri" w:eastAsia="黑体" w:cstheme="minorBidi"/>
          <w:color w:val="000000" w:themeColor="text1"/>
          <w:kern w:val="2"/>
          <w:sz w:val="21"/>
          <w:szCs w:val="21"/>
          <w:lang w:eastAsia="zh-CN"/>
        </w:rPr>
        <w:t>，</w:t>
      </w:r>
      <w:r>
        <w:rPr>
          <w:rFonts w:hint="eastAsia" w:ascii="Calibri" w:hAnsi="Calibri" w:eastAsia="黑体" w:cstheme="minorBidi"/>
          <w:color w:val="000000" w:themeColor="text1"/>
          <w:kern w:val="2"/>
          <w:sz w:val="21"/>
          <w:szCs w:val="21"/>
          <w:lang w:val="en-US" w:eastAsia="zh-CN"/>
        </w:rPr>
        <w:t>从而更好的服务人文社会。</w:t>
      </w:r>
    </w:p>
    <w:p>
      <w:pPr>
        <w:spacing w:line="360" w:lineRule="exact"/>
        <w:rPr>
          <w:rFonts w:ascii="Calibri" w:hAnsi="Calibri" w:eastAsia="黑体"/>
          <w:color w:val="000000" w:themeColor="text1"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Calibri" w:hAnsi="Calibri" w:eastAsia="黑体"/>
          <w:color w:val="1F4E79" w:themeColor="accent1" w:themeShade="80"/>
          <w:sz w:val="30"/>
          <w:szCs w:val="30"/>
        </w:rPr>
      </w:pPr>
      <w:r>
        <w:rPr>
          <w:rFonts w:hint="eastAsia" w:ascii="Calibri" w:hAnsi="Calibri" w:eastAsia="黑体"/>
          <w:bCs/>
          <w:color w:val="1F4E79" w:themeColor="accent1" w:themeShade="80"/>
          <w:kern w:val="44"/>
          <w:sz w:val="30"/>
          <w:szCs w:val="30"/>
        </w:rPr>
        <w:t>项目特色</w:t>
      </w:r>
      <w:r>
        <w:rPr>
          <w:rFonts w:hint="eastAsia" w:ascii="Calibri" w:hAnsi="Calibri" w:eastAsia="黑体"/>
          <w:color w:val="1F4E79" w:themeColor="accent1" w:themeShade="80"/>
          <w:sz w:val="30"/>
          <w:szCs w:val="30"/>
        </w:rPr>
        <w:t>|Program</w:t>
      </w:r>
      <w:r>
        <w:rPr>
          <w:rFonts w:hint="eastAsia" w:ascii="Calibri" w:hAnsi="Calibri" w:eastAsia="黑体"/>
          <w:color w:val="1F4E79" w:themeColor="accent1" w:themeShade="80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黑体"/>
          <w:color w:val="1F4E79" w:themeColor="accent1" w:themeShade="80"/>
          <w:sz w:val="30"/>
          <w:szCs w:val="30"/>
        </w:rPr>
        <w:t>Background</w:t>
      </w:r>
    </w:p>
    <w:p>
      <w:pPr>
        <w:pStyle w:val="12"/>
        <w:numPr>
          <w:ilvl w:val="0"/>
          <w:numId w:val="3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顶级对话</w:t>
      </w:r>
      <w:r>
        <w:rPr>
          <w:rFonts w:ascii="Calibri" w:hAnsi="Calibri" w:eastAsia="黑体"/>
          <w:color w:val="000000" w:themeColor="text1"/>
          <w:szCs w:val="21"/>
        </w:rPr>
        <w:t>：</w:t>
      </w:r>
      <w:r>
        <w:rPr>
          <w:rFonts w:hint="eastAsia" w:ascii="Calibri" w:hAnsi="Calibri" w:eastAsia="黑体"/>
          <w:color w:val="000000" w:themeColor="text1"/>
          <w:szCs w:val="21"/>
        </w:rPr>
        <w:t>参访欧洲顶尖跨国企业，和欧洲高级科研机构直面对话</w:t>
      </w:r>
    </w:p>
    <w:p>
      <w:pPr>
        <w:pStyle w:val="12"/>
        <w:numPr>
          <w:ilvl w:val="0"/>
          <w:numId w:val="3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多国访问</w:t>
      </w:r>
      <w:r>
        <w:rPr>
          <w:rFonts w:ascii="Calibri" w:hAnsi="Calibri" w:eastAsia="黑体"/>
          <w:color w:val="000000" w:themeColor="text1"/>
          <w:szCs w:val="21"/>
        </w:rPr>
        <w:t>：</w:t>
      </w:r>
      <w:r>
        <w:rPr>
          <w:rFonts w:hint="eastAsia" w:ascii="Calibri" w:hAnsi="Calibri" w:eastAsia="黑体"/>
          <w:color w:val="000000" w:themeColor="text1"/>
          <w:szCs w:val="21"/>
        </w:rPr>
        <w:t>从比利时，经德国到法国，亲历欧洲的中心，目睹欧洲的华贵繁荣与浪漫</w:t>
      </w:r>
    </w:p>
    <w:p>
      <w:pPr>
        <w:pStyle w:val="12"/>
        <w:numPr>
          <w:ilvl w:val="0"/>
          <w:numId w:val="3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学术氛围：参访比利时鲁汶大学顶尖实验室，授课于比利时皇家科学院，访问马克思故居</w:t>
      </w:r>
    </w:p>
    <w:p>
      <w:pPr>
        <w:pStyle w:val="12"/>
        <w:numPr>
          <w:ilvl w:val="0"/>
          <w:numId w:val="3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服务保障：专业服务，让留学变简单，让家人更安心</w:t>
      </w:r>
    </w:p>
    <w:p>
      <w:pPr>
        <w:spacing w:line="360" w:lineRule="exact"/>
        <w:ind w:left="840"/>
        <w:rPr>
          <w:rFonts w:ascii="Calibri" w:hAnsi="Calibri" w:eastAsia="黑体"/>
          <w:color w:val="000000" w:themeColor="text1"/>
          <w:szCs w:val="21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</w:pPr>
      <w:bookmarkStart w:id="2" w:name="_Toc2080287"/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项目时段|Course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Introduction</w:t>
      </w:r>
      <w:bookmarkEnd w:id="2"/>
    </w:p>
    <w:p>
      <w:pPr>
        <w:pStyle w:val="12"/>
        <w:numPr>
          <w:ilvl w:val="0"/>
          <w:numId w:val="4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项目开始：</w:t>
      </w:r>
      <w:r>
        <w:rPr>
          <w:rFonts w:ascii="Calibri" w:hAnsi="Calibri" w:eastAsia="黑体"/>
          <w:color w:val="000000" w:themeColor="text1"/>
          <w:szCs w:val="21"/>
        </w:rPr>
        <w:t>2019年7月28</w:t>
      </w:r>
      <w:r>
        <w:rPr>
          <w:rFonts w:hint="eastAsia" w:ascii="Calibri" w:hAnsi="Calibri" w:eastAsia="黑体"/>
          <w:color w:val="000000" w:themeColor="text1"/>
          <w:szCs w:val="21"/>
        </w:rPr>
        <w:t>日</w:t>
      </w:r>
    </w:p>
    <w:p>
      <w:pPr>
        <w:pStyle w:val="12"/>
        <w:numPr>
          <w:ilvl w:val="0"/>
          <w:numId w:val="4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项目结束：</w:t>
      </w:r>
      <w:r>
        <w:rPr>
          <w:rFonts w:ascii="Calibri" w:hAnsi="Calibri" w:eastAsia="黑体"/>
          <w:color w:val="000000" w:themeColor="text1"/>
          <w:szCs w:val="21"/>
        </w:rPr>
        <w:t>2019年8月19日</w:t>
      </w:r>
    </w:p>
    <w:p>
      <w:pPr>
        <w:pStyle w:val="12"/>
        <w:numPr>
          <w:ilvl w:val="0"/>
          <w:numId w:val="4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报名截至：</w:t>
      </w:r>
    </w:p>
    <w:p>
      <w:pPr>
        <w:pStyle w:val="12"/>
        <w:numPr>
          <w:ilvl w:val="0"/>
          <w:numId w:val="5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第一批次：</w:t>
      </w:r>
      <w:r>
        <w:rPr>
          <w:rFonts w:ascii="Calibri" w:hAnsi="Calibri" w:eastAsia="黑体"/>
          <w:color w:val="000000" w:themeColor="text1"/>
          <w:szCs w:val="21"/>
        </w:rPr>
        <w:t>2019年4月30日</w:t>
      </w:r>
    </w:p>
    <w:p>
      <w:pPr>
        <w:pStyle w:val="12"/>
        <w:numPr>
          <w:ilvl w:val="0"/>
          <w:numId w:val="5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第二</w:t>
      </w:r>
      <w:r>
        <w:rPr>
          <w:rFonts w:hint="eastAsia" w:ascii="Calibri" w:hAnsi="Calibri" w:eastAsia="黑体"/>
          <w:color w:val="000000" w:themeColor="text1"/>
          <w:szCs w:val="21"/>
        </w:rPr>
        <w:t>批次</w:t>
      </w:r>
      <w:r>
        <w:rPr>
          <w:rFonts w:ascii="Calibri" w:hAnsi="Calibri" w:eastAsia="黑体"/>
          <w:color w:val="000000" w:themeColor="text1"/>
          <w:szCs w:val="21"/>
        </w:rPr>
        <w:t>：2019年5月30日</w:t>
      </w:r>
    </w:p>
    <w:p>
      <w:pPr>
        <w:pStyle w:val="12"/>
        <w:numPr>
          <w:ilvl w:val="0"/>
          <w:numId w:val="4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接送机安排：</w:t>
      </w:r>
    </w:p>
    <w:p>
      <w:pPr>
        <w:pStyle w:val="12"/>
        <w:numPr>
          <w:ilvl w:val="0"/>
          <w:numId w:val="5"/>
        </w:numPr>
        <w:spacing w:line="360" w:lineRule="exact"/>
        <w:ind w:firstLineChars="0"/>
        <w:rPr>
          <w:rFonts w:hint="eastAsia"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学生应于当地时间</w:t>
      </w:r>
      <w:r>
        <w:rPr>
          <w:rFonts w:ascii="Calibri" w:hAnsi="Calibri" w:eastAsia="黑体"/>
          <w:color w:val="000000" w:themeColor="text1"/>
          <w:szCs w:val="21"/>
        </w:rPr>
        <w:t>7月28日抵达布鲁塞尔机场</w:t>
      </w:r>
      <w:r>
        <w:rPr>
          <w:rFonts w:hint="eastAsia" w:ascii="Calibri" w:hAnsi="Calibri" w:eastAsia="黑体"/>
          <w:color w:val="000000" w:themeColor="text1"/>
          <w:szCs w:val="21"/>
        </w:rPr>
        <w:t>，项目将从7月28</w:t>
      </w:r>
      <w:r>
        <w:rPr>
          <w:rFonts w:ascii="Calibri" w:hAnsi="Calibri" w:eastAsia="黑体" w:cs="Calibri"/>
        </w:rPr>
        <w:t>日起提供住宿</w:t>
      </w:r>
      <w:r>
        <w:rPr>
          <w:rFonts w:hint="eastAsia" w:ascii="Calibri" w:hAnsi="Calibri" w:eastAsia="黑体" w:cs="Calibri"/>
        </w:rPr>
        <w:t>。</w:t>
      </w:r>
    </w:p>
    <w:p>
      <w:pPr>
        <w:pStyle w:val="12"/>
        <w:numPr>
          <w:ilvl w:val="0"/>
          <w:numId w:val="5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 w:cs="Calibri"/>
        </w:rPr>
        <w:t>根据航班情况，学生可能需要</w:t>
      </w:r>
      <w:r>
        <w:rPr>
          <w:rFonts w:ascii="Calibri" w:hAnsi="Calibri" w:eastAsia="黑体" w:cs="Calibri"/>
        </w:rPr>
        <w:t>7月2</w:t>
      </w:r>
      <w:r>
        <w:rPr>
          <w:rFonts w:hint="eastAsia" w:ascii="Calibri" w:hAnsi="Calibri" w:eastAsia="黑体" w:cs="Calibri"/>
        </w:rPr>
        <w:t>7</w:t>
      </w:r>
      <w:r>
        <w:rPr>
          <w:rFonts w:ascii="Calibri" w:hAnsi="Calibri" w:eastAsia="黑体" w:cs="Calibri"/>
        </w:rPr>
        <w:t>日从国内出发。</w:t>
      </w:r>
    </w:p>
    <w:p>
      <w:pPr>
        <w:pStyle w:val="12"/>
        <w:numPr>
          <w:ilvl w:val="0"/>
          <w:numId w:val="5"/>
        </w:numPr>
        <w:spacing w:line="36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学生应于当地时间</w:t>
      </w:r>
      <w:r>
        <w:rPr>
          <w:rFonts w:ascii="Calibri" w:hAnsi="Calibri" w:eastAsia="黑体"/>
          <w:color w:val="000000" w:themeColor="text1"/>
          <w:szCs w:val="21"/>
        </w:rPr>
        <w:t>2019</w:t>
      </w:r>
      <w:r>
        <w:rPr>
          <w:rFonts w:hint="eastAsia" w:ascii="Calibri" w:hAnsi="Calibri" w:eastAsia="黑体"/>
          <w:color w:val="000000" w:themeColor="text1"/>
          <w:szCs w:val="21"/>
        </w:rPr>
        <w:t>年8月1</w:t>
      </w:r>
      <w:r>
        <w:rPr>
          <w:rFonts w:ascii="Calibri" w:hAnsi="Calibri" w:eastAsia="黑体"/>
          <w:color w:val="000000" w:themeColor="text1"/>
          <w:szCs w:val="21"/>
        </w:rPr>
        <w:t>8</w:t>
      </w:r>
      <w:r>
        <w:rPr>
          <w:rFonts w:hint="eastAsia" w:ascii="Calibri" w:hAnsi="Calibri" w:eastAsia="黑体"/>
          <w:color w:val="000000" w:themeColor="text1"/>
          <w:szCs w:val="21"/>
        </w:rPr>
        <w:t>日</w:t>
      </w:r>
      <w:r>
        <w:rPr>
          <w:rFonts w:ascii="Calibri" w:hAnsi="Calibri" w:eastAsia="黑体"/>
          <w:color w:val="000000" w:themeColor="text1"/>
          <w:szCs w:val="21"/>
        </w:rPr>
        <w:t>由巴黎戴高乐机场离开</w:t>
      </w:r>
      <w:r>
        <w:rPr>
          <w:rFonts w:ascii="Calibri" w:hAnsi="Calibri" w:eastAsia="黑体" w:cs="Calibri"/>
        </w:rPr>
        <w:t>，8月</w:t>
      </w:r>
      <w:r>
        <w:rPr>
          <w:rFonts w:hint="eastAsia" w:ascii="Calibri" w:hAnsi="Calibri" w:eastAsia="黑体" w:cs="Calibri"/>
        </w:rPr>
        <w:t>18</w:t>
      </w:r>
      <w:r>
        <w:rPr>
          <w:rFonts w:ascii="Calibri" w:hAnsi="Calibri" w:eastAsia="黑体" w:cs="Calibri"/>
        </w:rPr>
        <w:t>日起项目不再提供住宿。</w:t>
      </w:r>
    </w:p>
    <w:p>
      <w:pPr>
        <w:rPr>
          <w:rFonts w:ascii="Calibri" w:hAnsi="Calibri" w:eastAsia="黑体" w:cstheme="minorBidi"/>
          <w:color w:val="000000" w:themeColor="text1"/>
          <w:kern w:val="2"/>
          <w:sz w:val="2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br w:type="page"/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</w:pPr>
      <w:bookmarkStart w:id="3" w:name="_Toc2080288"/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项目安排|Program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Arrangement</w:t>
      </w:r>
      <w:bookmarkEnd w:id="3"/>
    </w:p>
    <w:p>
      <w:pPr>
        <w:pStyle w:val="12"/>
        <w:numPr>
          <w:ilvl w:val="0"/>
          <w:numId w:val="6"/>
        </w:numPr>
        <w:spacing w:line="400" w:lineRule="exact"/>
        <w:ind w:firstLineChars="0"/>
        <w:jc w:val="left"/>
        <w:rPr>
          <w:rFonts w:ascii="Calibri" w:hAnsi="Calibri" w:eastAsia="黑体" w:cs="Calibri"/>
          <w:color w:val="1F4E79" w:themeColor="accent1" w:themeShade="80"/>
          <w:szCs w:val="21"/>
        </w:rPr>
      </w:pPr>
      <w:r>
        <w:rPr>
          <w:rFonts w:ascii="Calibri" w:hAnsi="Calibri" w:eastAsia="黑体" w:cs="Calibri"/>
          <w:color w:val="1F4E79" w:themeColor="accent1" w:themeShade="80"/>
          <w:szCs w:val="21"/>
        </w:rPr>
        <w:t>高等院校，机构，企业实地访问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比利时皇家科学院（Royal Academics of Science and Arts of Belgium, RASAB）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比利时皇家学院成立于1772年，是世界上历史最悠久、最著名的学术团体之一，由科学、文学和社会科学、艺术及技术院组成，目前有400多位院士。比利时皇家学院是比利时联邦的最高学术机构，是主导比利时联邦自然科学和社会科学基础研究的中心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比利时鲁汶大学</w:t>
      </w:r>
    </w:p>
    <w:p>
      <w:pPr>
        <w:pStyle w:val="12"/>
        <w:spacing w:line="400" w:lineRule="exact"/>
        <w:ind w:left="598" w:leftChars="249"/>
        <w:rPr>
          <w:rFonts w:hint="eastAsia" w:ascii="Calibri" w:hAnsi="Calibri" w:eastAsia="黑体" w:cs="Calibri"/>
          <w:color w:val="000000" w:themeColor="text1"/>
          <w:szCs w:val="21"/>
          <w:lang w:eastAsia="zh-CN"/>
        </w:rPr>
      </w:pPr>
      <w:r>
        <w:rPr>
          <w:rFonts w:ascii="Calibri" w:hAnsi="Calibri" w:eastAsia="黑体" w:cs="Calibri"/>
          <w:color w:val="000000" w:themeColor="text1"/>
          <w:szCs w:val="21"/>
        </w:rPr>
        <w:t>鲁汶大学创建于1425年，是比利时最大、排名最高的大学，也是欧洲最古老及最受人尊敬的大学之一。作为欧洲研究大学的领头人及欧洲研究大学联盟 (the League of European Research Universities – LERU) 的共同创始人，鲁汶大学提供了广泛的英语项目，这些项目得到高品质的跨学科研究的支持，并在大学和国际知名的医院予以实施。由于其无与伦比的中心位置，鲁汶大学</w:t>
      </w: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>能够</w:t>
      </w:r>
      <w:r>
        <w:rPr>
          <w:rFonts w:ascii="Calibri" w:hAnsi="Calibri" w:eastAsia="黑体" w:cs="Calibri"/>
          <w:color w:val="000000" w:themeColor="text1"/>
          <w:szCs w:val="21"/>
        </w:rPr>
        <w:t>提供真正国际化的体验、高品质的教育、世界一流的尖端创新研究</w:t>
      </w:r>
      <w:r>
        <w:rPr>
          <w:rFonts w:hint="eastAsia" w:ascii="Calibri" w:hAnsi="Calibri" w:eastAsia="黑体" w:cs="Calibri"/>
          <w:color w:val="000000" w:themeColor="text1"/>
          <w:szCs w:val="21"/>
          <w:lang w:eastAsia="zh-CN"/>
        </w:rPr>
        <w:t>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欧盟及其组织机构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欧洲联盟是以经济一体化的欧洲共同体（EC）为基础，遵循欧洲联盟条约（马斯特里赫特条约），意图在推进经济和货币整合的同时，促进共同的外交和安全政策，以及司法和内政事务等的广泛合作的政治经济整合体。其总部设在比利时的布鲁塞尔。目前成员国有28个国家。是国际组织中最为重要，影响力最大的的组织之一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比利时微电子研究中心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比利时微电子研究中心（Inter</w:t>
      </w: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 xml:space="preserve"> </w:t>
      </w:r>
      <w:r>
        <w:rPr>
          <w:rFonts w:ascii="Calibri" w:hAnsi="Calibri" w:eastAsia="黑体" w:cs="Calibri"/>
          <w:color w:val="000000" w:themeColor="text1"/>
          <w:szCs w:val="21"/>
        </w:rPr>
        <w:t>university Microelectronics Centre，缩写</w:t>
      </w: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>IMEC</w:t>
      </w:r>
      <w:r>
        <w:rPr>
          <w:rFonts w:ascii="Calibri" w:hAnsi="Calibri" w:eastAsia="黑体" w:cs="Calibri"/>
          <w:color w:val="000000" w:themeColor="text1"/>
          <w:szCs w:val="21"/>
        </w:rPr>
        <w:t>），又称比利时校际微电子中心，是一个专注于奈米科技的世界领先研究中心，其总部位于比利时鲁汶。</w:t>
      </w: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>IMEC</w:t>
      </w:r>
      <w:r>
        <w:rPr>
          <w:rFonts w:ascii="Calibri" w:hAnsi="Calibri" w:eastAsia="黑体" w:cs="Calibri"/>
          <w:color w:val="000000" w:themeColor="text1"/>
          <w:szCs w:val="21"/>
        </w:rPr>
        <w:t>的重点是下一代电子技术研究，领先业界三年至十年技术需要，在全球半导体业界备受推崇。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福特汽车工厂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访问位于德国S</w:t>
      </w: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>a</w:t>
      </w:r>
      <w:r>
        <w:rPr>
          <w:rFonts w:ascii="Calibri" w:hAnsi="Calibri" w:eastAsia="黑体" w:cs="Calibri"/>
          <w:color w:val="000000" w:themeColor="text1"/>
          <w:szCs w:val="21"/>
        </w:rPr>
        <w:t>arlouis(萨尔路易)的福特汽车厂。此汽车厂是欧洲福特最主要的汽车整车组装厂。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马克思故居博物馆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马克思主义为中国革命、建设、改革提供了强大思想武器，使中国这个古老的东方大国创造了人类历史上前所未有的发展奇迹。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宝马汽车（BMW）总部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深入宝马汽车位于慕尼黑总部探访汽车博物馆及生产流水线。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EDF 核电站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参访EDF旗下的Golfech Nuclear Power Plant。Golfech坐落于法国南部拥有两座压水反应堆。项目参加者会被安排进入核电站内部了解核电站运行</w:t>
      </w:r>
      <w:r>
        <w:rPr>
          <w:rFonts w:hint="eastAsia" w:ascii="Calibri" w:hAnsi="Calibri" w:eastAsia="黑体" w:cs="Calibri"/>
          <w:color w:val="000000" w:themeColor="text1"/>
          <w:szCs w:val="21"/>
          <w:lang w:eastAsia="zh-CN"/>
        </w:rPr>
        <w:t>（</w:t>
      </w: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>禁止拍照）</w:t>
      </w:r>
      <w:r>
        <w:rPr>
          <w:rFonts w:ascii="Calibri" w:hAnsi="Calibri" w:eastAsia="黑体" w:cs="Calibri"/>
          <w:color w:val="000000" w:themeColor="text1"/>
          <w:szCs w:val="21"/>
        </w:rPr>
        <w:t>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空中客车飞机公司总部 (Airbus)</w:t>
      </w:r>
    </w:p>
    <w:p>
      <w:pPr>
        <w:pStyle w:val="12"/>
        <w:spacing w:line="400" w:lineRule="exact"/>
        <w:ind w:left="598" w:leftChars="249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>参观</w:t>
      </w:r>
      <w:r>
        <w:rPr>
          <w:rFonts w:ascii="Calibri" w:hAnsi="Calibri" w:eastAsia="黑体" w:cs="Calibri"/>
          <w:color w:val="000000" w:themeColor="text1"/>
          <w:szCs w:val="21"/>
        </w:rPr>
        <w:t>Airbus位于法国图卢兹（Toulouse）的总部，并探访Airbus的生产车间。实地了解各型飞机的制造流程和公司的企业文化。</w:t>
      </w:r>
      <w:r>
        <w:rPr>
          <w:rFonts w:ascii="Calibri" w:hAnsi="Calibri" w:eastAsia="黑体" w:cs="Calibri"/>
          <w:color w:val="000000" w:themeColor="text1"/>
          <w:szCs w:val="21"/>
        </w:rPr>
        <w:br w:type="page"/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米其林公司总部</w:t>
      </w:r>
    </w:p>
    <w:p>
      <w:pPr>
        <w:pStyle w:val="12"/>
        <w:spacing w:line="400" w:lineRule="exact"/>
        <w:ind w:left="598" w:leftChars="249" w:firstLine="630" w:firstLineChars="300"/>
        <w:rPr>
          <w:rFonts w:ascii="Calibri" w:hAnsi="Calibri" w:eastAsia="黑体" w:cs="Calibri"/>
          <w:color w:val="000000" w:themeColor="text1"/>
          <w:szCs w:val="21"/>
        </w:rPr>
      </w:pPr>
      <w:r>
        <w:rPr>
          <w:rFonts w:ascii="Calibri" w:hAnsi="Calibri" w:eastAsia="黑体" w:cs="Calibri"/>
          <w:color w:val="000000" w:themeColor="text1"/>
          <w:szCs w:val="21"/>
        </w:rPr>
        <w:t>米其林公司（法语：CompagnieGénérale des Établissements Michelin, Euronext：ML）是一家总部设于法国克莱蒙费朗的轮胎生产商，该公司是法国最大、全球第二的轮胎及橡胶制品制造商。</w:t>
      </w:r>
    </w:p>
    <w:p>
      <w:pPr>
        <w:pStyle w:val="12"/>
        <w:numPr>
          <w:ilvl w:val="0"/>
          <w:numId w:val="7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</w:rPr>
      </w:pPr>
      <w:r>
        <w:rPr>
          <w:rFonts w:ascii="Calibri" w:hAnsi="Calibri" w:eastAsia="黑体" w:cs="Calibri"/>
          <w:b/>
          <w:color w:val="000000" w:themeColor="text1"/>
          <w:szCs w:val="21"/>
        </w:rPr>
        <w:t>联合国教科文总部</w:t>
      </w:r>
    </w:p>
    <w:p>
      <w:pPr>
        <w:pStyle w:val="12"/>
        <w:numPr>
          <w:numId w:val="0"/>
        </w:numPr>
        <w:spacing w:line="400" w:lineRule="exact"/>
        <w:ind w:left="420" w:leftChars="0" w:firstLine="787" w:firstLineChars="375"/>
        <w:rPr>
          <w:rFonts w:hint="eastAsia" w:ascii="Calibri" w:hAnsi="Calibri" w:eastAsia="黑体" w:cs="Calibri"/>
          <w:b/>
          <w:color w:val="000000" w:themeColor="text1"/>
          <w:szCs w:val="21"/>
          <w:lang w:val="en-US" w:eastAsia="zh-CN"/>
        </w:rPr>
      </w:pP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>联合国教育、科学及文化组织（简称：联合国教科文组织，英文：United Nations Educational, Scientific and Cultural Organization，缩写UNESCO）于1946年11月正式成立，总部设在法国首都巴黎，现有195个成员，是联合国在国际教育、科学和文化领域成员最多的专门机构。该组织旨在通过教育、科学和文化促进各国合作，对世界和平和安全作出贡献，其主要机构包括大会、执行局和秘书处</w:t>
      </w:r>
      <w:r>
        <w:rPr>
          <w:rFonts w:hint="eastAsia" w:ascii="Calibri" w:hAnsi="Calibri" w:eastAsia="黑体" w:cs="Calibri"/>
          <w:b/>
          <w:color w:val="000000" w:themeColor="text1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7"/>
        </w:numPr>
        <w:spacing w:line="400" w:lineRule="exact"/>
        <w:ind w:left="780" w:leftChars="0" w:hanging="360" w:firstLineChars="0"/>
        <w:rPr>
          <w:rFonts w:hint="eastAsia" w:ascii="Calibri" w:hAnsi="Calibri" w:eastAsia="黑体" w:cs="Calibri"/>
          <w:b/>
          <w:color w:val="000000" w:themeColor="text1"/>
          <w:szCs w:val="21"/>
        </w:rPr>
      </w:pPr>
      <w:r>
        <w:rPr>
          <w:rFonts w:hint="eastAsia" w:ascii="Calibri" w:hAnsi="Calibri" w:eastAsia="黑体" w:cs="Calibri"/>
          <w:b/>
          <w:color w:val="000000" w:themeColor="text1"/>
          <w:szCs w:val="21"/>
        </w:rPr>
        <w:t>巴黎科技城</w:t>
      </w:r>
    </w:p>
    <w:p>
      <w:pPr>
        <w:pStyle w:val="12"/>
        <w:numPr>
          <w:numId w:val="0"/>
        </w:numPr>
        <w:spacing w:line="400" w:lineRule="exact"/>
        <w:ind w:left="420" w:leftChars="0"/>
        <w:rPr>
          <w:rFonts w:hint="eastAsia" w:ascii="Calibri" w:hAnsi="Calibri" w:eastAsia="黑体" w:cs="Calibri"/>
          <w:b/>
          <w:color w:val="000000" w:themeColor="text1"/>
          <w:szCs w:val="21"/>
          <w:lang w:val="en-US" w:eastAsia="zh-CN"/>
        </w:rPr>
      </w:pPr>
      <w:r>
        <w:rPr>
          <w:rFonts w:hint="eastAsia" w:ascii="Calibri" w:hAnsi="Calibri" w:eastAsia="黑体" w:cs="Calibri"/>
          <w:b/>
          <w:color w:val="000000" w:themeColor="text1"/>
          <w:szCs w:val="21"/>
          <w:lang w:val="en-US" w:eastAsia="zh-CN"/>
        </w:rPr>
        <w:t xml:space="preserve">     </w:t>
      </w:r>
      <w:r>
        <w:rPr>
          <w:rFonts w:hint="eastAsia" w:ascii="Calibri" w:hAnsi="Calibri" w:eastAsia="黑体" w:cs="Calibri"/>
          <w:color w:val="000000" w:themeColor="text1"/>
          <w:szCs w:val="21"/>
          <w:lang w:val="en-US" w:eastAsia="zh-CN"/>
        </w:rPr>
        <w:t xml:space="preserve"> 欧洲最大的科普中心，运用游戏方式介绍现代科学与技术的实验工厂。内容涵盖了宇宙、生命、物质和通讯交通几大部分，并设有图书馆和多媒体馆等设施：公共媒介馆、专业媒介馆、儿童媒介馆、计算机软件馆等。</w:t>
      </w:r>
    </w:p>
    <w:p>
      <w:pPr>
        <w:pStyle w:val="12"/>
        <w:spacing w:line="400" w:lineRule="exact"/>
        <w:rPr>
          <w:rFonts w:ascii="Calibri" w:hAnsi="Calibri" w:eastAsia="黑体" w:cs="Calibri"/>
          <w:color w:val="000000" w:themeColor="text1"/>
          <w:szCs w:val="21"/>
        </w:rPr>
      </w:pPr>
    </w:p>
    <w:p>
      <w:pPr>
        <w:pStyle w:val="12"/>
        <w:numPr>
          <w:ilvl w:val="0"/>
          <w:numId w:val="6"/>
        </w:numPr>
        <w:spacing w:line="400" w:lineRule="exact"/>
        <w:ind w:firstLineChars="0"/>
        <w:jc w:val="left"/>
        <w:rPr>
          <w:rFonts w:ascii="Calibri" w:hAnsi="Calibri" w:eastAsia="黑体" w:cs="Calibri"/>
          <w:color w:val="1F4E79" w:themeColor="accent1" w:themeShade="80"/>
          <w:szCs w:val="21"/>
        </w:rPr>
      </w:pPr>
      <w:r>
        <w:rPr>
          <w:rFonts w:ascii="Calibri" w:hAnsi="Calibri" w:eastAsia="黑体" w:cs="Calibri"/>
          <w:color w:val="1F4E79" w:themeColor="accent1" w:themeShade="80"/>
          <w:szCs w:val="21"/>
        </w:rPr>
        <w:t>人文风光</w:t>
      </w:r>
    </w:p>
    <w:p>
      <w:pPr>
        <w:pStyle w:val="12"/>
        <w:spacing w:line="400" w:lineRule="exact"/>
        <w:ind w:left="840" w:firstLine="0" w:firstLineChars="0"/>
        <w:jc w:val="left"/>
        <w:rPr>
          <w:rFonts w:ascii="Calibri" w:hAnsi="Calibri" w:eastAsia="黑体" w:cs="Calibri"/>
          <w:color w:val="1F4E79" w:themeColor="accent1" w:themeShade="80"/>
          <w:szCs w:val="21"/>
        </w:rPr>
      </w:pPr>
    </w:p>
    <w:tbl>
      <w:tblPr>
        <w:tblStyle w:val="11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 w:eastAsia="黑体" w:cs="Calibri"/>
                <w:b/>
                <w:color w:val="FFFFFF" w:themeColor="background1"/>
                <w:sz w:val="21"/>
                <w:szCs w:val="21"/>
              </w:rPr>
              <w:t>城市</w:t>
            </w:r>
          </w:p>
        </w:tc>
        <w:tc>
          <w:tcPr>
            <w:tcW w:w="7067" w:type="dxa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 w:eastAsia="黑体" w:cs="Calibri"/>
                <w:b/>
                <w:color w:val="FFFFFF" w:themeColor="background1"/>
                <w:sz w:val="21"/>
                <w:szCs w:val="21"/>
              </w:rPr>
              <w:t>人文景点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vAlign w:val="center"/>
          </w:tcPr>
          <w:p>
            <w:pPr>
              <w:jc w:val="center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布鲁塞尔市</w:t>
            </w:r>
          </w:p>
        </w:tc>
        <w:tc>
          <w:tcPr>
            <w:tcW w:w="7067" w:type="dxa"/>
            <w:vAlign w:val="center"/>
          </w:tcPr>
          <w:p>
            <w:pPr>
              <w:jc w:val="both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布鲁塞尔市容，大广场、撒尿小童、圣凯瑟琳广场等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vAlign w:val="center"/>
          </w:tcPr>
          <w:p>
            <w:pPr>
              <w:jc w:val="center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慕尼黑</w:t>
            </w:r>
          </w:p>
        </w:tc>
        <w:tc>
          <w:tcPr>
            <w:tcW w:w="7067" w:type="dxa"/>
            <w:vAlign w:val="center"/>
          </w:tcPr>
          <w:p>
            <w:pPr>
              <w:jc w:val="both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慕尼黑市容，新天鹅堡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vAlign w:val="center"/>
          </w:tcPr>
          <w:p>
            <w:pPr>
              <w:jc w:val="center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法国香波</w:t>
            </w:r>
          </w:p>
        </w:tc>
        <w:tc>
          <w:tcPr>
            <w:tcW w:w="7067" w:type="dxa"/>
            <w:vAlign w:val="center"/>
          </w:tcPr>
          <w:p>
            <w:pPr>
              <w:jc w:val="both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hint="eastAsia" w:ascii="Calibri" w:hAnsi="Calibri" w:eastAsia="黑体" w:cs="Calibri"/>
                <w:sz w:val="21"/>
                <w:szCs w:val="21"/>
              </w:rPr>
              <w:t>香波城堡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vAlign w:val="center"/>
          </w:tcPr>
          <w:p>
            <w:pPr>
              <w:jc w:val="center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巴黎印象</w:t>
            </w:r>
          </w:p>
        </w:tc>
        <w:tc>
          <w:tcPr>
            <w:tcW w:w="7067" w:type="dxa"/>
            <w:vAlign w:val="center"/>
          </w:tcPr>
          <w:p>
            <w:pPr>
              <w:jc w:val="both"/>
              <w:rPr>
                <w:rFonts w:ascii="Calibri" w:hAnsi="Calibri" w:eastAsia="黑体" w:cs="Calibri"/>
                <w:sz w:val="21"/>
                <w:szCs w:val="21"/>
              </w:rPr>
            </w:pPr>
            <w:r>
              <w:rPr>
                <w:rFonts w:ascii="Calibri" w:hAnsi="Calibri" w:eastAsia="黑体" w:cs="Calibri"/>
                <w:sz w:val="21"/>
                <w:szCs w:val="21"/>
              </w:rPr>
              <w:t>埃菲尔铁塔、塞纳河、巴黎圣母院、卢浮宫</w:t>
            </w:r>
            <w:r>
              <w:rPr>
                <w:rFonts w:hint="eastAsia" w:ascii="Calibri" w:hAnsi="Calibri" w:eastAsia="黑体" w:cs="Calibri"/>
                <w:sz w:val="21"/>
                <w:szCs w:val="21"/>
              </w:rPr>
              <w:t>、香波城堡</w:t>
            </w:r>
          </w:p>
        </w:tc>
      </w:tr>
    </w:tbl>
    <w:p>
      <w:pPr>
        <w:pStyle w:val="12"/>
        <w:spacing w:line="400" w:lineRule="exact"/>
        <w:ind w:left="780" w:firstLine="0" w:firstLineChars="0"/>
        <w:jc w:val="left"/>
        <w:rPr>
          <w:rFonts w:ascii="Calibri" w:hAnsi="Calibri" w:eastAsia="黑体" w:cs="Calibri"/>
          <w:color w:val="000000" w:themeColor="text1"/>
          <w:szCs w:val="21"/>
        </w:rPr>
      </w:pPr>
    </w:p>
    <w:p>
      <w:pPr>
        <w:pStyle w:val="12"/>
        <w:numPr>
          <w:ilvl w:val="0"/>
          <w:numId w:val="6"/>
        </w:numPr>
        <w:spacing w:line="400" w:lineRule="exact"/>
        <w:ind w:firstLineChars="0"/>
        <w:jc w:val="left"/>
        <w:rPr>
          <w:rFonts w:ascii="Calibri" w:hAnsi="Calibri" w:eastAsia="黑体" w:cs="Calibri"/>
          <w:color w:val="1F4E79" w:themeColor="accent1" w:themeShade="80"/>
          <w:szCs w:val="21"/>
        </w:rPr>
      </w:pPr>
      <w:r>
        <w:rPr>
          <w:rFonts w:ascii="Calibri" w:hAnsi="Calibri" w:eastAsia="黑体" w:cs="Calibri"/>
          <w:color w:val="1F4E79" w:themeColor="accent1" w:themeShade="80"/>
          <w:szCs w:val="21"/>
        </w:rPr>
        <w:t>荣誉课堂</w:t>
      </w:r>
    </w:p>
    <w:p>
      <w:pPr>
        <w:pStyle w:val="12"/>
        <w:numPr>
          <w:ilvl w:val="0"/>
          <w:numId w:val="8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b/>
          <w:color w:val="000000" w:themeColor="text1"/>
          <w:szCs w:val="21"/>
          <w:lang w:val="fr-BE"/>
        </w:rPr>
        <w:t>课程1：欧洲科技发展史</w:t>
      </w:r>
    </w:p>
    <w:p>
      <w:pPr>
        <w:pStyle w:val="12"/>
        <w:numPr>
          <w:ilvl w:val="0"/>
          <w:numId w:val="9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color w:val="000000" w:themeColor="text1"/>
          <w:szCs w:val="21"/>
          <w:lang w:val="fr-BE"/>
        </w:rPr>
        <w:t>授课地点：比利时皇家科学院</w:t>
      </w:r>
    </w:p>
    <w:p>
      <w:pPr>
        <w:pStyle w:val="12"/>
        <w:numPr>
          <w:ilvl w:val="0"/>
          <w:numId w:val="9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color w:val="000000" w:themeColor="text1"/>
          <w:szCs w:val="21"/>
          <w:lang w:val="fr-BE"/>
        </w:rPr>
        <w:t>授课老师：比利时鲁汶天主教大学教授 Reinhilde Veugelers</w:t>
      </w:r>
    </w:p>
    <w:p>
      <w:pPr>
        <w:pStyle w:val="12"/>
        <w:numPr>
          <w:ilvl w:val="0"/>
          <w:numId w:val="9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color w:val="000000" w:themeColor="text1"/>
          <w:szCs w:val="21"/>
          <w:lang w:val="fr-BE"/>
        </w:rPr>
        <w:t>课程介绍：通过本课程，学生能够认识欧盟这一特殊国际行为体及其政策决策过程，知晓欧盟创新政策的发展和欧洲一体化的关系，理解欧洲经济发展对创新政策的影响，并对欧盟地平线2020研究与创新计划及其对外合作项目有一定了解。</w:t>
      </w:r>
    </w:p>
    <w:p>
      <w:pPr>
        <w:spacing w:line="400" w:lineRule="exact"/>
        <w:rPr>
          <w:rFonts w:ascii="Calibri" w:hAnsi="Calibri" w:eastAsia="黑体" w:cs="Calibri"/>
          <w:color w:val="000000" w:themeColor="text1"/>
          <w:sz w:val="21"/>
          <w:szCs w:val="21"/>
        </w:rPr>
      </w:pPr>
    </w:p>
    <w:p>
      <w:pPr>
        <w:pStyle w:val="12"/>
        <w:numPr>
          <w:ilvl w:val="0"/>
          <w:numId w:val="8"/>
        </w:numPr>
        <w:spacing w:line="400" w:lineRule="exact"/>
        <w:ind w:firstLineChars="0"/>
        <w:rPr>
          <w:rFonts w:ascii="Calibri" w:hAnsi="Calibri" w:eastAsia="黑体" w:cs="Calibri"/>
          <w:b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b/>
          <w:color w:val="000000" w:themeColor="text1"/>
          <w:szCs w:val="21"/>
          <w:lang w:val="fr-BE"/>
        </w:rPr>
        <w:t>课程2：中国与欧洲之间的科技合作</w:t>
      </w:r>
    </w:p>
    <w:p>
      <w:pPr>
        <w:pStyle w:val="12"/>
        <w:numPr>
          <w:ilvl w:val="0"/>
          <w:numId w:val="9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color w:val="000000" w:themeColor="text1"/>
          <w:szCs w:val="21"/>
          <w:lang w:val="fr-BE"/>
        </w:rPr>
        <w:t>授课地点：比利时皇家科学院</w:t>
      </w:r>
    </w:p>
    <w:p>
      <w:pPr>
        <w:pStyle w:val="12"/>
        <w:numPr>
          <w:ilvl w:val="0"/>
          <w:numId w:val="9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color w:val="000000" w:themeColor="text1"/>
          <w:szCs w:val="21"/>
          <w:lang w:val="fr-BE"/>
        </w:rPr>
        <w:t>授课老师：前欧盟委员会官员Jean-Marie Rousseau</w:t>
      </w:r>
    </w:p>
    <w:p>
      <w:pPr>
        <w:pStyle w:val="12"/>
        <w:numPr>
          <w:ilvl w:val="0"/>
          <w:numId w:val="9"/>
        </w:numPr>
        <w:spacing w:line="400" w:lineRule="exact"/>
        <w:ind w:firstLineChars="0"/>
        <w:rPr>
          <w:rFonts w:ascii="Calibri" w:hAnsi="Calibri" w:eastAsia="黑体" w:cs="Calibri"/>
          <w:color w:val="000000" w:themeColor="text1"/>
          <w:szCs w:val="21"/>
          <w:lang w:val="fr-BE"/>
        </w:rPr>
      </w:pPr>
      <w:r>
        <w:rPr>
          <w:rFonts w:ascii="Calibri" w:hAnsi="Calibri" w:eastAsia="黑体" w:cs="Calibri"/>
          <w:color w:val="000000" w:themeColor="text1"/>
          <w:szCs w:val="21"/>
          <w:lang w:val="fr-BE"/>
        </w:rPr>
        <w:t>课程介绍：通过本课程，学生能够对中国和欧盟在科技领域的合作有一定了解，获悉中欧科技合作的动因，历史与现状，对中国和欧盟在地平线2020研究与创新计划中的合作加深了解，理解中欧联合出资的新机制，并知晓欧盟对中国学生和科研人员开放的奖学金和科研资助方式。</w:t>
      </w:r>
    </w:p>
    <w:p>
      <w:pPr>
        <w:spacing w:line="400" w:lineRule="exact"/>
        <w:rPr>
          <w:rFonts w:ascii="Calibri" w:hAnsi="Calibri" w:eastAsia="黑体" w:cs="Calibri"/>
          <w:color w:val="000000" w:themeColor="text1"/>
          <w:sz w:val="21"/>
          <w:szCs w:val="21"/>
        </w:rPr>
      </w:pPr>
    </w:p>
    <w:p>
      <w:pPr>
        <w:pStyle w:val="12"/>
        <w:numPr>
          <w:ilvl w:val="0"/>
          <w:numId w:val="6"/>
        </w:numPr>
        <w:spacing w:line="400" w:lineRule="exact"/>
        <w:ind w:firstLineChars="0"/>
        <w:jc w:val="left"/>
        <w:rPr>
          <w:rFonts w:ascii="Calibri" w:hAnsi="Calibri" w:eastAsia="黑体" w:cs="Calibri"/>
          <w:color w:val="1F4E79" w:themeColor="accent1" w:themeShade="80"/>
          <w:szCs w:val="21"/>
        </w:rPr>
      </w:pPr>
      <w:r>
        <w:rPr>
          <w:rFonts w:ascii="Calibri" w:hAnsi="Calibri" w:eastAsia="黑体" w:cs="Calibri"/>
          <w:color w:val="1F4E79" w:themeColor="accent1" w:themeShade="80"/>
          <w:szCs w:val="21"/>
        </w:rPr>
        <w:t>项目证书</w:t>
      </w:r>
    </w:p>
    <w:p>
      <w:pPr>
        <w:spacing w:line="400" w:lineRule="exact"/>
        <w:ind w:left="720" w:leftChars="300"/>
        <w:rPr>
          <w:rFonts w:ascii="Calibri" w:hAnsi="Calibri" w:eastAsia="黑体" w:cs="Calibri"/>
          <w:color w:val="000000" w:themeColor="text1"/>
          <w:sz w:val="21"/>
          <w:szCs w:val="21"/>
        </w:rPr>
      </w:pPr>
      <w:r>
        <w:rPr>
          <w:rFonts w:hint="eastAsia" w:ascii="Calibri" w:hAnsi="Calibri" w:eastAsia="黑体" w:cs="Calibri"/>
          <w:color w:val="000000" w:themeColor="text1"/>
          <w:sz w:val="21"/>
          <w:szCs w:val="21"/>
        </w:rPr>
        <w:t>项目结束后，学生将获得由中欧人文交流中心颁发的官方项目认证证书</w:t>
      </w:r>
    </w:p>
    <w:p>
      <w:pPr>
        <w:rPr>
          <w:rFonts w:ascii="Calibri" w:hAnsi="Calibri" w:eastAsia="黑体" w:cs="宋体"/>
          <w:color w:val="000000" w:themeColor="text1"/>
          <w:kern w:val="0"/>
          <w:sz w:val="24"/>
          <w:szCs w:val="21"/>
          <w:lang w:val="en-US" w:eastAsia="zh-CN" w:bidi="ar-SA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</w:pPr>
      <w:bookmarkStart w:id="4" w:name="_Toc2080289"/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项目行程|Program Itinerary</w:t>
      </w:r>
      <w:bookmarkEnd w:id="4"/>
    </w:p>
    <w:tbl>
      <w:tblPr>
        <w:tblStyle w:val="1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516"/>
        <w:gridCol w:w="3401"/>
        <w:gridCol w:w="70"/>
        <w:gridCol w:w="16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top w:val="nil"/>
              <w:left w:val="nil"/>
              <w:right w:val="nil"/>
              <w:insideV w:val="nil"/>
            </w:tcBorders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  <w:t>日期</w:t>
            </w:r>
          </w:p>
        </w:tc>
        <w:tc>
          <w:tcPr>
            <w:tcW w:w="1516" w:type="dxa"/>
            <w:tcBorders>
              <w:top w:val="nil"/>
              <w:left w:val="nil"/>
              <w:right w:val="nil"/>
              <w:insideV w:val="nil"/>
            </w:tcBorders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  <w:t>地点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right w:val="nil"/>
              <w:insideV w:val="nil"/>
            </w:tcBorders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  <w:t>上午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right w:val="nil"/>
              <w:insideV w:val="nil"/>
            </w:tcBorders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/>
                <w:bCs/>
                <w:color w:val="FFFFFF" w:themeColor="background1"/>
                <w:sz w:val="21"/>
                <w:szCs w:val="21"/>
                <w:lang w:val="fr-FR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7月28日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（周日）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布鲁塞尔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比利时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到达布鲁塞尔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自由活动</w:t>
            </w: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fr-FR" w:eastAsia="zh-CN"/>
              </w:rPr>
              <w:t>：</w:t>
            </w: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参观大广场、撒尿小童、圣凯瑟琳广场等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7月29日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（周一）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布鲁塞尔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比利时</w:t>
            </w:r>
          </w:p>
        </w:tc>
        <w:tc>
          <w:tcPr>
            <w:tcW w:w="3471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课程1：欧洲科技发展史</w:t>
            </w:r>
          </w:p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授课地点：比利时皇家科学院</w:t>
            </w:r>
          </w:p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授课老师：比利时鲁汶天主教大学教授 Reinhilde Veugelers</w:t>
            </w:r>
          </w:p>
        </w:tc>
        <w:tc>
          <w:tcPr>
            <w:tcW w:w="350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课程2：中国与欧洲之间的科技合作</w:t>
            </w:r>
          </w:p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授课地点：比利时皇家科学院</w:t>
            </w:r>
          </w:p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授课老师：前欧盟委员会官员Jean-Marie Rousseau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7月30日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（周二）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布鲁塞尔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比利时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访问欧盟科技与创新总司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访问新鲁文中比科技园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7月31日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（周三）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鲁汶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比利时</w:t>
            </w:r>
          </w:p>
        </w:tc>
        <w:tc>
          <w:tcPr>
            <w:tcW w:w="3471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参观IMEC（微电子研究中心）</w:t>
            </w:r>
          </w:p>
        </w:tc>
        <w:tc>
          <w:tcPr>
            <w:tcW w:w="350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参观比利时鲁汶天主教大学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（周四）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布鲁塞尔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比利时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访问欧洲理事会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访问中国驻欧盟使团</w:t>
            </w: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（教文处/科技处公使衔参赞接待）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2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（周五）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布鲁塞尔-特里尔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德国</w:t>
            </w:r>
          </w:p>
        </w:tc>
        <w:tc>
          <w:tcPr>
            <w:tcW w:w="3471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布鲁塞尔-特里尔（行车时间3小时）</w:t>
            </w:r>
          </w:p>
        </w:tc>
        <w:tc>
          <w:tcPr>
            <w:tcW w:w="350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参观福特汽车工厂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8月3日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（周六）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特里尔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德国</w:t>
            </w: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参观马克思故居博物馆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>
            <w:pPr>
              <w:ind w:left="420" w:hanging="420" w:hangingChars="200"/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出发前往慕尼黑</w:t>
            </w: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（</w:t>
            </w: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  <w:t>路程约</w:t>
            </w: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5小时）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8月4日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（周日）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慕尼黑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德国</w:t>
            </w:r>
          </w:p>
        </w:tc>
        <w:tc>
          <w:tcPr>
            <w:tcW w:w="3471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参观宝马汽车（BMW）总部</w:t>
            </w:r>
          </w:p>
        </w:tc>
        <w:tc>
          <w:tcPr>
            <w:tcW w:w="350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慕尼黑游览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8月5日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（周一）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慕尼黑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参观新天鹅堡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8月6日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（周二）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慕尼黑-</w:t>
            </w: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图卢兹</w:t>
            </w:r>
          </w:p>
        </w:tc>
        <w:tc>
          <w:tcPr>
            <w:tcW w:w="6975" w:type="dxa"/>
            <w:gridSpan w:val="4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乘坐飞机从慕尼黑抵达图卢兹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8月7日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（周三）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图卢兹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3487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参观EDF 核电站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参观图卢兹市容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8月8日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（周四）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图卢兹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3487" w:type="dxa"/>
            <w:gridSpan w:val="3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参观空客总部</w:t>
            </w:r>
          </w:p>
        </w:tc>
        <w:tc>
          <w:tcPr>
            <w:tcW w:w="3488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参观图卢兹市容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8月9日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（周五）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图卢兹-克莱蒙-费朗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图卢兹至克莱蒙-费朗（行车时间4小时左右）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8月10日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（周六）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克莱蒙-费朗法国</w:t>
            </w:r>
          </w:p>
        </w:tc>
        <w:tc>
          <w:tcPr>
            <w:tcW w:w="3471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参观米其林公司总部</w:t>
            </w:r>
          </w:p>
        </w:tc>
        <w:tc>
          <w:tcPr>
            <w:tcW w:w="350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8月11日</w:t>
            </w:r>
            <w:r>
              <w:rPr>
                <w:rFonts w:hint="eastAsia"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（周日）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克莱蒙-费朗-香波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克莱蒙-费朗至香波（行车时间4小时左右）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bCs w:val="0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8月12日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（周一）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香波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香波堡游览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bCs w:val="0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8月13日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（周二）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香波-巴黎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6975" w:type="dxa"/>
            <w:gridSpan w:val="4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香波堡-巴黎（路上时间2小时30分钟）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/>
                <w:bCs w:val="0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8月14日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（周三）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巴黎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巴黎市容游览：埃菲尔铁塔、塞纳河、巴黎圣母院、卢浮宫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8月15日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（周四）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巴黎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3401" w:type="dxa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参观联合国教科文总部</w:t>
            </w:r>
          </w:p>
        </w:tc>
        <w:tc>
          <w:tcPr>
            <w:tcW w:w="357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参观巴黎科技城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8月16日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（周五）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巴黎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访问</w:t>
            </w: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巴黎科技城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参观凡尔赛宫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8月17日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（周六）</w:t>
            </w:r>
          </w:p>
        </w:tc>
        <w:tc>
          <w:tcPr>
            <w:tcW w:w="1516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巴黎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6975" w:type="dxa"/>
            <w:gridSpan w:val="4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  <w:t>全天自由文化研修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8月18日</w:t>
            </w:r>
          </w:p>
          <w:p>
            <w:pPr>
              <w:jc w:val="center"/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b w:val="0"/>
                <w:bCs/>
                <w:color w:val="000000" w:themeColor="text1"/>
                <w:sz w:val="21"/>
                <w:szCs w:val="21"/>
                <w:lang w:val="fr-FR"/>
              </w:rPr>
              <w:t>（周日）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巴黎</w:t>
            </w:r>
          </w:p>
          <w:p>
            <w:pPr>
              <w:jc w:val="center"/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</w:pPr>
            <w:r>
              <w:rPr>
                <w:rFonts w:ascii="Calibri" w:hAnsi="Calibri" w:eastAsia="黑体" w:cs="Calibri"/>
                <w:color w:val="000000" w:themeColor="text1"/>
                <w:sz w:val="21"/>
                <w:szCs w:val="21"/>
                <w:lang w:val="fr-FR"/>
              </w:rPr>
              <w:t>法国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 w:themeColor="text1"/>
                <w:sz w:val="21"/>
                <w:szCs w:val="21"/>
                <w:lang w:val="en-US" w:eastAsia="zh-CN"/>
              </w:rPr>
              <w:t>平安返回国内</w:t>
            </w:r>
          </w:p>
        </w:tc>
      </w:tr>
    </w:tbl>
    <w:p>
      <w:pPr>
        <w:spacing w:line="360" w:lineRule="exact"/>
        <w:rPr>
          <w:rFonts w:ascii="Calibri" w:hAnsi="Calibri"/>
        </w:rPr>
      </w:pP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</w:pPr>
      <w:bookmarkStart w:id="5" w:name="_Toc2080290"/>
      <w:r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  <w:t>项目费用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|Program Fee</w:t>
      </w:r>
      <w:bookmarkEnd w:id="5"/>
    </w:p>
    <w:p>
      <w:pPr>
        <w:pStyle w:val="12"/>
        <w:numPr>
          <w:ilvl w:val="0"/>
          <w:numId w:val="10"/>
        </w:numPr>
        <w:spacing w:line="360" w:lineRule="exact"/>
        <w:ind w:firstLineChars="0"/>
        <w:jc w:val="left"/>
        <w:rPr>
          <w:rFonts w:ascii="Calibri" w:hAnsi="Calibri" w:eastAsia="黑体"/>
          <w:color w:val="2E75B5" w:themeColor="accent1" w:themeShade="BF"/>
          <w:szCs w:val="21"/>
        </w:rPr>
      </w:pPr>
      <w:r>
        <w:rPr>
          <w:rFonts w:hint="eastAsia" w:ascii="Calibri" w:hAnsi="Calibri" w:eastAsia="黑体"/>
          <w:color w:val="2E75B5" w:themeColor="accent1" w:themeShade="BF"/>
          <w:szCs w:val="21"/>
        </w:rPr>
        <w:t>费用标准</w:t>
      </w:r>
    </w:p>
    <w:p>
      <w:pPr>
        <w:pStyle w:val="12"/>
        <w:numPr>
          <w:ilvl w:val="0"/>
          <w:numId w:val="11"/>
        </w:numPr>
        <w:spacing w:line="400" w:lineRule="exact"/>
        <w:ind w:left="1259"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第一批截止日期(</w:t>
      </w:r>
      <w:r>
        <w:rPr>
          <w:rFonts w:ascii="Calibri" w:hAnsi="Calibri" w:eastAsia="黑体"/>
          <w:color w:val="000000" w:themeColor="text1"/>
          <w:szCs w:val="21"/>
        </w:rPr>
        <w:t>2019/04/30</w:t>
      </w:r>
      <w:r>
        <w:rPr>
          <w:rFonts w:hint="eastAsia" w:ascii="Calibri" w:hAnsi="Calibri" w:eastAsia="黑体"/>
          <w:color w:val="000000" w:themeColor="text1"/>
          <w:szCs w:val="21"/>
        </w:rPr>
        <w:t>)：4280欧元，项目代码：O</w:t>
      </w:r>
      <w:r>
        <w:rPr>
          <w:rFonts w:ascii="Calibri" w:hAnsi="Calibri" w:eastAsia="黑体"/>
          <w:color w:val="000000" w:themeColor="text1"/>
          <w:szCs w:val="21"/>
        </w:rPr>
        <w:t>M26T-EU-STI-1</w:t>
      </w:r>
    </w:p>
    <w:p>
      <w:pPr>
        <w:pStyle w:val="12"/>
        <w:numPr>
          <w:ilvl w:val="0"/>
          <w:numId w:val="11"/>
        </w:numPr>
        <w:spacing w:line="400" w:lineRule="exact"/>
        <w:ind w:left="1259"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第二批截止日期(</w:t>
      </w:r>
      <w:r>
        <w:rPr>
          <w:rFonts w:ascii="Calibri" w:hAnsi="Calibri" w:eastAsia="黑体"/>
          <w:color w:val="000000" w:themeColor="text1"/>
          <w:szCs w:val="21"/>
        </w:rPr>
        <w:t>2019/05/30</w:t>
      </w:r>
      <w:r>
        <w:rPr>
          <w:rFonts w:hint="eastAsia" w:ascii="Calibri" w:hAnsi="Calibri" w:eastAsia="黑体"/>
          <w:color w:val="000000" w:themeColor="text1"/>
          <w:szCs w:val="21"/>
        </w:rPr>
        <w:t>)：4580欧元，项目代码：O</w:t>
      </w:r>
      <w:r>
        <w:rPr>
          <w:rFonts w:ascii="Calibri" w:hAnsi="Calibri" w:eastAsia="黑体"/>
          <w:color w:val="000000" w:themeColor="text1"/>
          <w:szCs w:val="21"/>
        </w:rPr>
        <w:t>M26T-EU-STI-2</w:t>
      </w:r>
    </w:p>
    <w:p>
      <w:pPr>
        <w:pStyle w:val="12"/>
        <w:spacing w:line="360" w:lineRule="exact"/>
        <w:ind w:left="1260" w:firstLine="0" w:firstLineChars="0"/>
        <w:jc w:val="left"/>
        <w:rPr>
          <w:rFonts w:ascii="Calibri" w:hAnsi="Calibri" w:eastAsia="黑体"/>
          <w:color w:val="000000" w:themeColor="text1"/>
          <w:szCs w:val="21"/>
        </w:rPr>
      </w:pPr>
    </w:p>
    <w:p>
      <w:pPr>
        <w:pStyle w:val="12"/>
        <w:numPr>
          <w:ilvl w:val="0"/>
          <w:numId w:val="10"/>
        </w:numPr>
        <w:spacing w:line="360" w:lineRule="exact"/>
        <w:ind w:firstLineChars="0"/>
        <w:jc w:val="left"/>
        <w:rPr>
          <w:rFonts w:ascii="Calibri" w:hAnsi="Calibri" w:eastAsia="黑体"/>
          <w:color w:val="2E75B5" w:themeColor="accent1" w:themeShade="BF"/>
          <w:szCs w:val="21"/>
        </w:rPr>
      </w:pPr>
      <w:r>
        <w:rPr>
          <w:rFonts w:ascii="Calibri" w:hAnsi="Calibri" w:eastAsia="黑体"/>
          <w:color w:val="2E75B5" w:themeColor="accent1" w:themeShade="BF"/>
          <w:szCs w:val="21"/>
        </w:rPr>
        <w:t>项目费【包含】</w:t>
      </w:r>
    </w:p>
    <w:p>
      <w:pPr>
        <w:pStyle w:val="12"/>
        <w:spacing w:line="400" w:lineRule="exact"/>
        <w:ind w:left="840" w:leftChars="350" w:firstLine="0" w:firstLineChars="0"/>
        <w:rPr>
          <w:rFonts w:ascii="Calibri" w:hAnsi="Calibri" w:eastAsia="黑体"/>
        </w:rPr>
      </w:pPr>
      <w:r>
        <w:rPr>
          <w:rFonts w:hint="eastAsia" w:ascii="Calibri" w:hAnsi="Calibri" w:eastAsia="黑体"/>
        </w:rPr>
        <w:t>课程费用，项目期间统一大巴移动费用，统一学生活动费用，慕尼黑至图卢兹机票费用，</w:t>
      </w:r>
      <w:r>
        <w:rPr>
          <w:rFonts w:hint="eastAsia" w:ascii="Calibri" w:hAnsi="Calibri" w:eastAsia="黑体"/>
          <w:lang w:val="en-US" w:eastAsia="zh-CN"/>
        </w:rPr>
        <w:t>境外意外</w:t>
      </w:r>
      <w:r>
        <w:rPr>
          <w:rFonts w:hint="eastAsia" w:ascii="Calibri" w:hAnsi="Calibri" w:eastAsia="黑体"/>
        </w:rPr>
        <w:t>保险费，企业参访费用，住宿费用，接送机费用。</w:t>
      </w:r>
    </w:p>
    <w:p>
      <w:pPr>
        <w:pStyle w:val="12"/>
        <w:spacing w:line="400" w:lineRule="exact"/>
        <w:ind w:left="840" w:leftChars="350"/>
        <w:rPr>
          <w:rFonts w:ascii="Calibri" w:hAnsi="Calibri" w:eastAsia="黑体"/>
        </w:rPr>
      </w:pPr>
    </w:p>
    <w:p>
      <w:pPr>
        <w:pStyle w:val="12"/>
        <w:numPr>
          <w:ilvl w:val="0"/>
          <w:numId w:val="10"/>
        </w:numPr>
        <w:spacing w:line="360" w:lineRule="exact"/>
        <w:ind w:firstLineChars="0"/>
        <w:jc w:val="left"/>
        <w:rPr>
          <w:rFonts w:ascii="Calibri" w:hAnsi="Calibri" w:eastAsia="黑体"/>
          <w:color w:val="2E75B5" w:themeColor="accent1" w:themeShade="BF"/>
          <w:szCs w:val="21"/>
        </w:rPr>
      </w:pPr>
      <w:r>
        <w:rPr>
          <w:rFonts w:ascii="Calibri" w:hAnsi="Calibri" w:eastAsia="黑体"/>
          <w:color w:val="2E75B5" w:themeColor="accent1" w:themeShade="BF"/>
          <w:szCs w:val="21"/>
        </w:rPr>
        <w:t>项目费【不含】</w:t>
      </w:r>
    </w:p>
    <w:p>
      <w:pPr>
        <w:pStyle w:val="12"/>
        <w:spacing w:line="400" w:lineRule="exact"/>
        <w:ind w:left="840" w:leftChars="350" w:firstLine="0" w:firstLineChars="0"/>
        <w:rPr>
          <w:rFonts w:ascii="Calibri" w:hAnsi="Calibri" w:eastAsia="黑体"/>
        </w:rPr>
      </w:pPr>
      <w:r>
        <w:rPr>
          <w:rFonts w:hint="eastAsia" w:ascii="Calibri" w:hAnsi="Calibri" w:eastAsia="黑体"/>
        </w:rPr>
        <w:t>餐费、签证费、航班行李费用、国际往返机票，学生自由活动产生消费</w:t>
      </w:r>
      <w:r>
        <w:rPr>
          <w:rFonts w:hint="eastAsia" w:ascii="Calibri" w:hAnsi="Calibri" w:eastAsia="黑体"/>
          <w:lang w:val="en-US" w:eastAsia="zh-CN"/>
        </w:rPr>
        <w:t>以及项目费包含项里未含项费用</w:t>
      </w:r>
      <w:r>
        <w:rPr>
          <w:rFonts w:hint="eastAsia" w:ascii="Calibri" w:hAnsi="Calibri" w:eastAsia="黑体"/>
        </w:rPr>
        <w:t>等。</w:t>
      </w:r>
    </w:p>
    <w:p>
      <w:pPr>
        <w:rPr>
          <w:rFonts w:ascii="Calibri" w:hAnsi="Calibri" w:eastAsia="黑体" w:cstheme="minorBidi"/>
          <w:kern w:val="2"/>
          <w:sz w:val="21"/>
          <w:szCs w:val="22"/>
        </w:rPr>
      </w:pPr>
      <w:r>
        <w:rPr>
          <w:rFonts w:ascii="Calibri" w:hAnsi="Calibri" w:eastAsia="黑体"/>
        </w:rPr>
        <w:br w:type="page"/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</w:pPr>
      <w:bookmarkStart w:id="6" w:name="_Toc2080291"/>
      <w:r>
        <w:rPr>
          <w:rFonts w:ascii="Calibri" w:hAnsi="Calibri" w:eastAsia="黑体"/>
          <w:b w:val="0"/>
          <w:color w:val="1F4E79" w:themeColor="accent1" w:themeShade="80"/>
          <w:sz w:val="30"/>
          <w:szCs w:val="30"/>
        </w:rPr>
        <w:t>报名须知</w:t>
      </w:r>
      <w:r>
        <w:rPr>
          <w:rFonts w:hint="eastAsia" w:ascii="Calibri" w:hAnsi="Calibri" w:eastAsia="黑体"/>
          <w:b w:val="0"/>
          <w:color w:val="1F4E79" w:themeColor="accent1" w:themeShade="80"/>
          <w:sz w:val="30"/>
          <w:szCs w:val="30"/>
        </w:rPr>
        <w:t>|SignUp</w:t>
      </w:r>
      <w:bookmarkEnd w:id="6"/>
    </w:p>
    <w:p>
      <w:pPr>
        <w:pStyle w:val="12"/>
        <w:numPr>
          <w:ilvl w:val="0"/>
          <w:numId w:val="12"/>
        </w:numPr>
        <w:spacing w:line="400" w:lineRule="exact"/>
        <w:ind w:firstLineChars="0"/>
        <w:jc w:val="left"/>
        <w:rPr>
          <w:rFonts w:ascii="Calibri" w:hAnsi="Calibri" w:eastAsia="黑体"/>
          <w:color w:val="2E75B5" w:themeColor="accent1" w:themeShade="BF"/>
          <w:szCs w:val="21"/>
        </w:rPr>
      </w:pPr>
      <w:r>
        <w:rPr>
          <w:rFonts w:ascii="Calibri" w:hAnsi="Calibri" w:eastAsia="黑体"/>
          <w:color w:val="2E75B5" w:themeColor="accent1" w:themeShade="BF"/>
          <w:szCs w:val="21"/>
        </w:rPr>
        <w:t>申请条件</w:t>
      </w:r>
    </w:p>
    <w:p>
      <w:pPr>
        <w:pStyle w:val="12"/>
        <w:numPr>
          <w:ilvl w:val="0"/>
          <w:numId w:val="13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全日制在校生，成绩优秀、品学端正</w:t>
      </w:r>
    </w:p>
    <w:p>
      <w:pPr>
        <w:pStyle w:val="12"/>
        <w:numPr>
          <w:ilvl w:val="0"/>
          <w:numId w:val="13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英语能力优秀学生优先录取</w:t>
      </w:r>
      <w:r>
        <w:rPr>
          <w:rFonts w:hint="eastAsia" w:ascii="Calibri" w:hAnsi="Calibri" w:eastAsia="黑体"/>
          <w:color w:val="000000" w:themeColor="text1"/>
          <w:szCs w:val="21"/>
          <w:lang w:eastAsia="zh-CN"/>
        </w:rPr>
        <w:t>，</w:t>
      </w:r>
      <w:r>
        <w:rPr>
          <w:rFonts w:hint="eastAsia" w:ascii="Calibri" w:hAnsi="Calibri" w:eastAsia="黑体"/>
          <w:color w:val="000000" w:themeColor="text1"/>
          <w:szCs w:val="21"/>
          <w:lang w:val="en-US" w:eastAsia="zh-CN"/>
        </w:rPr>
        <w:t>建议CET4+相当水平</w:t>
      </w:r>
    </w:p>
    <w:p>
      <w:pPr>
        <w:pStyle w:val="12"/>
        <w:spacing w:line="400" w:lineRule="exact"/>
        <w:ind w:left="1260" w:firstLine="0" w:firstLineChars="0"/>
        <w:jc w:val="left"/>
        <w:rPr>
          <w:rFonts w:ascii="Calibri" w:hAnsi="Calibri" w:eastAsia="黑体"/>
          <w:color w:val="000000" w:themeColor="text1"/>
          <w:szCs w:val="21"/>
        </w:rPr>
      </w:pPr>
    </w:p>
    <w:p>
      <w:pPr>
        <w:pStyle w:val="12"/>
        <w:numPr>
          <w:ilvl w:val="0"/>
          <w:numId w:val="12"/>
        </w:numPr>
        <w:spacing w:line="400" w:lineRule="exact"/>
        <w:ind w:firstLineChars="0"/>
        <w:jc w:val="left"/>
        <w:rPr>
          <w:rFonts w:ascii="Calibri" w:hAnsi="Calibri" w:eastAsia="黑体"/>
          <w:color w:val="2E75B5" w:themeColor="accent1" w:themeShade="BF"/>
          <w:szCs w:val="21"/>
        </w:rPr>
      </w:pPr>
      <w:r>
        <w:rPr>
          <w:rFonts w:ascii="Calibri" w:hAnsi="Calibri" w:eastAsia="黑体"/>
          <w:color w:val="2E75B5" w:themeColor="accent1" w:themeShade="BF"/>
          <w:szCs w:val="21"/>
        </w:rPr>
        <w:t>申请材料</w:t>
      </w:r>
    </w:p>
    <w:p>
      <w:pPr>
        <w:pStyle w:val="12"/>
        <w:numPr>
          <w:ilvl w:val="0"/>
          <w:numId w:val="14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项目报名表</w:t>
      </w:r>
    </w:p>
    <w:p>
      <w:pPr>
        <w:pStyle w:val="12"/>
        <w:numPr>
          <w:ilvl w:val="0"/>
          <w:numId w:val="14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护照扫描件</w:t>
      </w:r>
    </w:p>
    <w:p>
      <w:pPr>
        <w:pStyle w:val="12"/>
        <w:numPr>
          <w:ilvl w:val="0"/>
          <w:numId w:val="14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语言成绩单扫描件等</w:t>
      </w:r>
    </w:p>
    <w:p>
      <w:pPr>
        <w:spacing w:line="400" w:lineRule="exact"/>
        <w:rPr>
          <w:rFonts w:ascii="Calibri" w:hAnsi="Calibri" w:eastAsia="黑体"/>
          <w:color w:val="000000" w:themeColor="text1"/>
          <w:szCs w:val="21"/>
        </w:rPr>
      </w:pPr>
    </w:p>
    <w:p>
      <w:pPr>
        <w:pStyle w:val="12"/>
        <w:numPr>
          <w:ilvl w:val="0"/>
          <w:numId w:val="12"/>
        </w:numPr>
        <w:spacing w:line="400" w:lineRule="exact"/>
        <w:ind w:firstLineChars="0"/>
        <w:jc w:val="left"/>
        <w:rPr>
          <w:rFonts w:ascii="Calibri" w:hAnsi="Calibri" w:eastAsia="黑体"/>
          <w:color w:val="2E75B5" w:themeColor="accent1" w:themeShade="BF"/>
          <w:szCs w:val="21"/>
        </w:rPr>
      </w:pPr>
      <w:r>
        <w:rPr>
          <w:rFonts w:ascii="Calibri" w:hAnsi="Calibri" w:eastAsia="黑体"/>
          <w:color w:val="2E75B5" w:themeColor="accent1" w:themeShade="BF"/>
          <w:szCs w:val="21"/>
        </w:rPr>
        <w:t>报名流程</w:t>
      </w:r>
    </w:p>
    <w:p>
      <w:pPr>
        <w:pStyle w:val="12"/>
        <w:numPr>
          <w:ilvl w:val="0"/>
          <w:numId w:val="15"/>
        </w:numPr>
        <w:spacing w:line="400" w:lineRule="exact"/>
        <w:ind w:firstLineChars="0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color w:val="000000" w:themeColor="text1"/>
          <w:szCs w:val="21"/>
        </w:rPr>
        <w:t>填写报名表链接</w:t>
      </w:r>
    </w:p>
    <w:p>
      <w:pPr>
        <w:pStyle w:val="12"/>
        <w:numPr>
          <w:ilvl w:val="0"/>
          <w:numId w:val="15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主办方将确认报名信息并对报名学生进行筛选；</w:t>
      </w:r>
    </w:p>
    <w:p>
      <w:pPr>
        <w:pStyle w:val="12"/>
        <w:numPr>
          <w:ilvl w:val="0"/>
          <w:numId w:val="15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缴纳项目费，并与主办方签订项目协议；</w:t>
      </w:r>
    </w:p>
    <w:p>
      <w:pPr>
        <w:pStyle w:val="12"/>
        <w:numPr>
          <w:ilvl w:val="0"/>
          <w:numId w:val="15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主办方将为学生申请项目；</w:t>
      </w:r>
    </w:p>
    <w:p>
      <w:pPr>
        <w:pStyle w:val="12"/>
        <w:numPr>
          <w:ilvl w:val="0"/>
          <w:numId w:val="15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在学生获得录取后协助学生准备签证材料；</w:t>
      </w:r>
    </w:p>
    <w:p>
      <w:pPr>
        <w:pStyle w:val="12"/>
        <w:numPr>
          <w:ilvl w:val="0"/>
          <w:numId w:val="15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行前指导</w:t>
      </w:r>
    </w:p>
    <w:p>
      <w:pPr>
        <w:spacing w:line="360" w:lineRule="exact"/>
        <w:rPr>
          <w:rFonts w:ascii="Calibri" w:hAnsi="Calibri" w:eastAsia="黑体"/>
          <w:color w:val="000000" w:themeColor="text1"/>
          <w:szCs w:val="21"/>
        </w:rPr>
      </w:pPr>
    </w:p>
    <w:p>
      <w:pPr>
        <w:pStyle w:val="12"/>
        <w:numPr>
          <w:ilvl w:val="0"/>
          <w:numId w:val="12"/>
        </w:numPr>
        <w:spacing w:line="400" w:lineRule="exact"/>
        <w:ind w:firstLineChars="0"/>
        <w:jc w:val="left"/>
        <w:rPr>
          <w:rFonts w:ascii="Calibri" w:hAnsi="Calibri" w:eastAsia="黑体"/>
          <w:color w:val="2E75B5" w:themeColor="accent1" w:themeShade="BF"/>
          <w:szCs w:val="21"/>
        </w:rPr>
      </w:pPr>
      <w:r>
        <w:rPr>
          <w:rFonts w:ascii="Calibri" w:hAnsi="Calibri" w:eastAsia="黑体"/>
          <w:color w:val="2E75B5" w:themeColor="accent1" w:themeShade="BF"/>
          <w:szCs w:val="21"/>
        </w:rPr>
        <w:t>报名</w:t>
      </w:r>
      <w:r>
        <w:rPr>
          <w:rFonts w:hint="eastAsia" w:ascii="Calibri" w:hAnsi="Calibri" w:eastAsia="黑体"/>
          <w:color w:val="2E75B5" w:themeColor="accent1" w:themeShade="BF"/>
          <w:szCs w:val="21"/>
        </w:rPr>
        <w:t>方式</w:t>
      </w:r>
    </w:p>
    <w:p>
      <w:pPr>
        <w:pStyle w:val="12"/>
        <w:numPr>
          <w:ilvl w:val="0"/>
          <w:numId w:val="16"/>
        </w:numPr>
        <w:spacing w:line="400" w:lineRule="exact"/>
        <w:ind w:firstLineChars="0"/>
        <w:jc w:val="left"/>
        <w:rPr>
          <w:rStyle w:val="9"/>
          <w:rFonts w:ascii="Calibri" w:hAnsi="Calibri" w:eastAsia="黑体"/>
          <w:color w:val="000000" w:themeColor="text1"/>
          <w:szCs w:val="21"/>
          <w:u w:val="none"/>
        </w:rPr>
      </w:pPr>
      <w:r>
        <w:rPr>
          <w:rFonts w:ascii="Calibri" w:hAnsi="Calibri" w:eastAsia="黑体"/>
          <w:color w:val="000000" w:themeColor="text1"/>
          <w:szCs w:val="21"/>
        </w:rPr>
        <w:t>报名链接：</w:t>
      </w:r>
      <w:r>
        <w:fldChar w:fldCharType="begin"/>
      </w:r>
      <w:r>
        <w:instrText xml:space="preserve"> HYPERLINK "http://apply.xf-world.org/" </w:instrText>
      </w:r>
      <w:r>
        <w:fldChar w:fldCharType="separate"/>
      </w:r>
      <w:r>
        <w:rPr>
          <w:rStyle w:val="9"/>
          <w:rFonts w:ascii="Calibri" w:hAnsi="Calibri" w:eastAsia="黑体"/>
          <w:szCs w:val="21"/>
        </w:rPr>
        <w:t>http://apply.xf-world.org/</w:t>
      </w:r>
      <w:r>
        <w:rPr>
          <w:rStyle w:val="9"/>
          <w:rFonts w:ascii="Calibri" w:hAnsi="Calibri" w:eastAsia="黑体"/>
          <w:szCs w:val="21"/>
        </w:rPr>
        <w:fldChar w:fldCharType="end"/>
      </w:r>
    </w:p>
    <w:p>
      <w:pPr>
        <w:pStyle w:val="12"/>
        <w:numPr>
          <w:ilvl w:val="0"/>
          <w:numId w:val="16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ascii="Calibri" w:hAnsi="Calibri" w:eastAsia="黑体"/>
          <w:color w:val="000000" w:themeColor="text1"/>
          <w:szCs w:val="21"/>
        </w:rPr>
        <w:t>咨询</w:t>
      </w:r>
      <w:r>
        <w:rPr>
          <w:rFonts w:hint="eastAsia" w:ascii="Calibri" w:hAnsi="Calibri" w:eastAsia="黑体"/>
          <w:color w:val="000000" w:themeColor="text1"/>
          <w:szCs w:val="21"/>
          <w:lang w:val="en-US" w:eastAsia="zh-CN"/>
        </w:rPr>
        <w:t>邮箱</w:t>
      </w:r>
      <w:bookmarkStart w:id="8" w:name="_GoBack"/>
      <w:bookmarkEnd w:id="8"/>
      <w:r>
        <w:rPr>
          <w:rFonts w:ascii="Calibri" w:hAnsi="Calibri" w:eastAsia="黑体"/>
          <w:color w:val="000000" w:themeColor="text1"/>
          <w:szCs w:val="21"/>
        </w:rPr>
        <w:t>：</w:t>
      </w:r>
      <w:r>
        <w:fldChar w:fldCharType="begin"/>
      </w:r>
      <w:r>
        <w:instrText xml:space="preserve"> HYPERLINK "mailto:bjdx@xf-world.org" </w:instrText>
      </w:r>
      <w:r>
        <w:fldChar w:fldCharType="separate"/>
      </w:r>
      <w:r>
        <w:rPr>
          <w:rStyle w:val="9"/>
          <w:rFonts w:hint="eastAsia" w:ascii="Calibri" w:hAnsi="Calibri" w:eastAsia="黑体"/>
          <w:szCs w:val="21"/>
        </w:rPr>
        <w:t>bjd</w:t>
      </w:r>
      <w:r>
        <w:rPr>
          <w:rStyle w:val="9"/>
          <w:rFonts w:hint="eastAsia" w:ascii="Calibri" w:hAnsi="Calibri" w:eastAsia="黑体"/>
          <w:szCs w:val="21"/>
          <w:lang w:val="en-US" w:eastAsia="zh-CN"/>
        </w:rPr>
        <w:t>q</w:t>
      </w:r>
      <w:r>
        <w:rPr>
          <w:rStyle w:val="9"/>
          <w:rFonts w:ascii="Calibri" w:hAnsi="Calibri" w:eastAsia="黑体"/>
          <w:szCs w:val="21"/>
        </w:rPr>
        <w:t>@xf-world.org</w:t>
      </w:r>
      <w:r>
        <w:rPr>
          <w:rStyle w:val="9"/>
          <w:rFonts w:ascii="Calibri" w:hAnsi="Calibri" w:eastAsia="黑体"/>
          <w:szCs w:val="21"/>
        </w:rPr>
        <w:fldChar w:fldCharType="end"/>
      </w:r>
    </w:p>
    <w:p>
      <w:pPr>
        <w:pStyle w:val="12"/>
        <w:numPr>
          <w:ilvl w:val="0"/>
          <w:numId w:val="16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szCs w:val="21"/>
        </w:rPr>
        <w:t>咨询电话：</w:t>
      </w:r>
      <w:r>
        <w:rPr>
          <w:rFonts w:ascii="Calibri" w:hAnsi="Calibri" w:eastAsia="黑体"/>
          <w:szCs w:val="21"/>
        </w:rPr>
        <w:t>010-80698305-812/13681049711胡老师</w:t>
      </w:r>
    </w:p>
    <w:p>
      <w:pPr>
        <w:pStyle w:val="12"/>
        <w:numPr>
          <w:ilvl w:val="0"/>
          <w:numId w:val="16"/>
        </w:numPr>
        <w:spacing w:line="400" w:lineRule="exact"/>
        <w:ind w:firstLineChars="0"/>
        <w:jc w:val="left"/>
        <w:rPr>
          <w:rFonts w:ascii="Calibri" w:hAnsi="Calibri" w:eastAsia="黑体"/>
          <w:color w:val="000000" w:themeColor="text1"/>
          <w:szCs w:val="21"/>
        </w:rPr>
      </w:pPr>
      <w:r>
        <w:rPr>
          <w:rFonts w:hint="eastAsia" w:ascii="Calibri" w:hAnsi="Calibri" w:eastAsia="黑体"/>
          <w:szCs w:val="21"/>
        </w:rPr>
        <w:t>咨询QQ：1491678764（申请时请备注所在院校名称+姓名）</w:t>
      </w:r>
    </w:p>
    <w:p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>
      <w:pPr>
        <w:pStyle w:val="2"/>
        <w:numPr>
          <w:ilvl w:val="0"/>
          <w:numId w:val="1"/>
        </w:numPr>
        <w:spacing w:before="0" w:after="0" w:line="240" w:lineRule="auto"/>
        <w:rPr>
          <w:rFonts w:ascii="Calibri" w:hAnsi="Calibri" w:eastAsia="黑体"/>
          <w:b w:val="0"/>
          <w:color w:val="3F3F3F" w:themeColor="text1" w:themeTint="BF"/>
          <w:sz w:val="32"/>
          <w:szCs w:val="30"/>
        </w:rPr>
      </w:pPr>
      <w:bookmarkStart w:id="7" w:name="_Toc2080292"/>
      <w:r>
        <w:rPr>
          <w:rFonts w:ascii="Calibri" w:hAnsi="Calibri" w:eastAsia="黑体"/>
          <w:b w:val="0"/>
          <w:color w:val="3F3F3F" w:themeColor="text1" w:themeTint="BF"/>
          <w:sz w:val="32"/>
          <w:szCs w:val="30"/>
        </w:rPr>
        <w:t>附件·项目</w:t>
      </w:r>
      <w:r>
        <w:rPr>
          <w:rFonts w:hint="eastAsia" w:ascii="Calibri" w:hAnsi="Calibri" w:eastAsia="黑体"/>
          <w:b w:val="0"/>
          <w:color w:val="3F3F3F" w:themeColor="text1" w:themeTint="BF"/>
          <w:sz w:val="32"/>
          <w:szCs w:val="30"/>
        </w:rPr>
        <w:t>参考</w:t>
      </w:r>
      <w:r>
        <w:rPr>
          <w:rFonts w:ascii="Calibri" w:hAnsi="Calibri" w:eastAsia="黑体"/>
          <w:b w:val="0"/>
          <w:color w:val="3F3F3F" w:themeColor="text1" w:themeTint="BF"/>
          <w:sz w:val="32"/>
          <w:szCs w:val="30"/>
        </w:rPr>
        <w:t>报名表</w:t>
      </w:r>
      <w:r>
        <w:rPr>
          <w:rFonts w:hint="eastAsia" w:ascii="Calibri" w:hAnsi="Calibri" w:eastAsia="黑体"/>
          <w:b w:val="0"/>
          <w:color w:val="3F3F3F" w:themeColor="text1" w:themeTint="BF"/>
          <w:sz w:val="32"/>
          <w:szCs w:val="30"/>
        </w:rPr>
        <w:t xml:space="preserve">|Sign-up </w:t>
      </w:r>
      <w:r>
        <w:rPr>
          <w:rFonts w:ascii="Calibri" w:hAnsi="Calibri" w:eastAsia="黑体"/>
          <w:b w:val="0"/>
          <w:color w:val="3F3F3F" w:themeColor="text1" w:themeTint="BF"/>
          <w:sz w:val="32"/>
          <w:szCs w:val="30"/>
        </w:rPr>
        <w:t>Sample</w:t>
      </w:r>
      <w:r>
        <w:rPr>
          <w:rFonts w:hint="eastAsia" w:ascii="Calibri" w:hAnsi="Calibri" w:eastAsia="黑体"/>
          <w:b w:val="0"/>
          <w:color w:val="3F3F3F" w:themeColor="text1" w:themeTint="BF"/>
          <w:sz w:val="32"/>
          <w:szCs w:val="30"/>
        </w:rPr>
        <w:t xml:space="preserve"> F</w:t>
      </w:r>
      <w:r>
        <w:rPr>
          <w:rFonts w:ascii="Calibri" w:hAnsi="Calibri" w:eastAsia="黑体"/>
          <w:b w:val="0"/>
          <w:color w:val="3F3F3F" w:themeColor="text1" w:themeTint="BF"/>
          <w:sz w:val="32"/>
          <w:szCs w:val="30"/>
        </w:rPr>
        <w:t>orm</w:t>
      </w:r>
      <w:bookmarkEnd w:id="7"/>
    </w:p>
    <w:p>
      <w:pPr>
        <w:jc w:val="center"/>
        <w:rPr>
          <w:sz w:val="28"/>
          <w:szCs w:val="28"/>
        </w:rPr>
      </w:pPr>
    </w:p>
    <w:tbl>
      <w:tblPr>
        <w:tblStyle w:val="10"/>
        <w:tblW w:w="100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60"/>
        <w:gridCol w:w="1258"/>
        <w:gridCol w:w="1258"/>
        <w:gridCol w:w="101"/>
        <w:gridCol w:w="1157"/>
        <w:gridCol w:w="1258"/>
        <w:gridCol w:w="1258"/>
        <w:gridCol w:w="1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64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黑体" w:cs="黑体"/>
                <w:bCs/>
                <w:sz w:val="28"/>
                <w:szCs w:val="28"/>
                <w:lang w:val="en-US" w:eastAsia="zh-CN"/>
              </w:rPr>
              <w:t>欧盟科技创新实践夏季短期项目报名表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064" w:type="dxa"/>
            <w:gridSpan w:val="9"/>
            <w:shd w:val="clear" w:color="auto" w:fill="2E75B5" w:themeFill="accent1" w:themeFillShade="B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/>
                <w:bCs/>
                <w:color w:val="FFFFFF" w:themeColor="background1"/>
                <w:sz w:val="18"/>
                <w:szCs w:val="18"/>
              </w:rPr>
              <w:t>申请者身份信息（中文填写）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姓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名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出生日期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年/月/日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性别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英文名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若有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国籍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出生地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民族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宗教信仰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身份证号</w:t>
            </w:r>
          </w:p>
        </w:tc>
        <w:tc>
          <w:tcPr>
            <w:tcW w:w="37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有效期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年/月/日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064" w:type="dxa"/>
            <w:gridSpan w:val="9"/>
            <w:shd w:val="clear" w:color="auto" w:fill="2E75B5" w:themeFill="accent1" w:themeFillShade="B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/>
                <w:bCs/>
                <w:color w:val="FFFFFF" w:themeColor="background1"/>
                <w:sz w:val="18"/>
                <w:szCs w:val="18"/>
              </w:rPr>
              <w:t>申请者旅行证件信息（中文填写）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护照号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有效期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年/月/日</w:t>
            </w:r>
          </w:p>
        </w:tc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签发地</w:t>
            </w:r>
          </w:p>
        </w:tc>
        <w:tc>
          <w:tcPr>
            <w:tcW w:w="125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旧护照号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若有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有效签证</w:t>
            </w:r>
          </w:p>
        </w:tc>
        <w:tc>
          <w:tcPr>
            <w:tcW w:w="8806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（请填写目前持有的所有有效签证的国家、类别、有效期，如美国，B1/B2，2025年1月1日）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拒签历史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及理由</w:t>
            </w:r>
          </w:p>
        </w:tc>
        <w:tc>
          <w:tcPr>
            <w:tcW w:w="8806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064" w:type="dxa"/>
            <w:gridSpan w:val="9"/>
            <w:shd w:val="clear" w:color="auto" w:fill="2E75B5" w:themeFill="accent1" w:themeFillShade="B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/>
                <w:bCs/>
                <w:color w:val="FFFFFF" w:themeColor="background1"/>
                <w:sz w:val="18"/>
                <w:szCs w:val="18"/>
              </w:rPr>
              <w:t>申请者学术信息（必填）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在读学校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院系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入学年份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专业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绩点</w:t>
            </w:r>
          </w:p>
        </w:tc>
        <w:tc>
          <w:tcPr>
            <w:tcW w:w="2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绩点</w:t>
            </w:r>
            <w:r>
              <w:rPr>
                <w:rFonts w:ascii="Calibri" w:hAnsi="Calibri" w:eastAsia="黑体" w:cs="黑体"/>
                <w:bCs/>
                <w:sz w:val="18"/>
                <w:szCs w:val="18"/>
              </w:rPr>
              <w:t xml:space="preserve">   /   </w:t>
            </w: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满分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学制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2/3/4/5</w:t>
            </w: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在读学历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本 / 研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推荐人姓名</w:t>
            </w:r>
          </w:p>
        </w:tc>
        <w:tc>
          <w:tcPr>
            <w:tcW w:w="2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推荐人邮箱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TOEFL成绩</w:t>
            </w:r>
          </w:p>
        </w:tc>
        <w:tc>
          <w:tcPr>
            <w:tcW w:w="2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IELTS成绩</w:t>
            </w:r>
          </w:p>
        </w:tc>
        <w:tc>
          <w:tcPr>
            <w:tcW w:w="2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学位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CET 4</w:t>
            </w:r>
          </w:p>
        </w:tc>
        <w:tc>
          <w:tcPr>
            <w:tcW w:w="25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CET 6</w:t>
            </w:r>
          </w:p>
        </w:tc>
        <w:tc>
          <w:tcPr>
            <w:tcW w:w="2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双专/辅修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64" w:type="dxa"/>
            <w:gridSpan w:val="9"/>
            <w:shd w:val="clear" w:color="auto" w:fill="2E75B5" w:themeFill="accent1" w:themeFillShade="B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/>
                <w:bCs/>
                <w:color w:val="FFFFFF" w:themeColor="background1"/>
                <w:sz w:val="18"/>
                <w:szCs w:val="18"/>
              </w:rPr>
              <w:t>申请者通讯信息（中文填写）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手机号码</w:t>
            </w:r>
          </w:p>
        </w:tc>
        <w:tc>
          <w:tcPr>
            <w:tcW w:w="37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电子邮箱</w:t>
            </w:r>
          </w:p>
        </w:tc>
        <w:tc>
          <w:tcPr>
            <w:tcW w:w="37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QQ号</w:t>
            </w:r>
          </w:p>
        </w:tc>
        <w:tc>
          <w:tcPr>
            <w:tcW w:w="37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微信号</w:t>
            </w:r>
          </w:p>
        </w:tc>
        <w:tc>
          <w:tcPr>
            <w:tcW w:w="37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（部分项目期间，带队老师会通过微信与学生交流）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居住地址</w:t>
            </w:r>
          </w:p>
        </w:tc>
        <w:tc>
          <w:tcPr>
            <w:tcW w:w="62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（请认真、完整填写，请填写长期居住、生活的地址，如学校宿舍地址或家庭地址）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邮编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邮寄地址</w:t>
            </w:r>
          </w:p>
        </w:tc>
        <w:tc>
          <w:tcPr>
            <w:tcW w:w="62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  <w:t>（请认真、完整填写以便邮寄录取信等重要材料）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邮编</w:t>
            </w:r>
          </w:p>
        </w:tc>
        <w:tc>
          <w:tcPr>
            <w:tcW w:w="125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紧急联络人信息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关系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手机号码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color w:val="808080"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电子邮箱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居住地址</w:t>
            </w:r>
          </w:p>
        </w:tc>
        <w:tc>
          <w:tcPr>
            <w:tcW w:w="6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6"/>
                <w:szCs w:val="18"/>
              </w:rPr>
              <w:t>（请认真、完整填写，请填写长期居住、生活的地址，如家庭地址或单位地址）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邮编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06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5B5" w:themeFill="accent1" w:themeFillShade="BF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/>
                <w:bCs/>
                <w:color w:val="FFFFFF" w:themeColor="background1"/>
                <w:sz w:val="18"/>
                <w:szCs w:val="18"/>
              </w:rPr>
              <w:t>申请者健康信息（中文填写）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整体状况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5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5"/>
                <w:szCs w:val="18"/>
              </w:rPr>
              <w:t>（请描述自己目前及长期以来的身体状况，是否健康，是否有残障等）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重大病史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5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5"/>
                <w:szCs w:val="18"/>
              </w:rPr>
              <w:t>（请说明自己是否曾罹患心脑血管疾病、哮喘、骨折等重大疾病或伤患）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药物过敏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5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5"/>
                <w:szCs w:val="18"/>
              </w:rPr>
              <w:t>（请描述自己是否对某种或某类药物有过敏反应，如阿司匹林、青霉素等）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环境不适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5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5"/>
                <w:szCs w:val="18"/>
              </w:rPr>
              <w:t>（请描述自己是否容易在某种环境中感到不适，如花粉、强紫外线等）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饮食忌口</w:t>
            </w:r>
          </w:p>
        </w:tc>
        <w:tc>
          <w:tcPr>
            <w:tcW w:w="8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Calibri" w:hAnsi="Calibri" w:eastAsia="黑体" w:cs="黑体"/>
                <w:bCs/>
                <w:sz w:val="15"/>
                <w:szCs w:val="18"/>
              </w:rPr>
            </w:pPr>
            <w:r>
              <w:rPr>
                <w:rFonts w:ascii="Calibri" w:hAnsi="Calibri" w:eastAsia="黑体" w:cs="黑体"/>
                <w:bCs/>
                <w:color w:val="808080"/>
                <w:sz w:val="15"/>
                <w:szCs w:val="18"/>
              </w:rPr>
              <w:t>（请描述自己是否对某种或某类食物有过敏反应，如花生、海鲜等，或对食物有特别需求，如不食猪肉、素食主义等）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5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请务必确保所有信息真实有效并填写完整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本人签名：</w:t>
            </w:r>
          </w:p>
          <w:p>
            <w:pPr>
              <w:adjustRightInd w:val="0"/>
              <w:snapToGrid w:val="0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Calibri" w:hAnsi="Calibri" w:eastAsia="黑体" w:cs="黑体"/>
                <w:bCs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Calibri" w:hAnsi="Calibri" w:eastAsia="黑体" w:cs="黑体"/>
                <w:bCs/>
                <w:sz w:val="18"/>
                <w:szCs w:val="18"/>
              </w:rPr>
            </w:pPr>
            <w:r>
              <w:rPr>
                <w:rFonts w:ascii="Calibri" w:hAnsi="Calibri" w:eastAsia="黑体" w:cs="黑体"/>
                <w:bCs/>
                <w:sz w:val="18"/>
                <w:szCs w:val="18"/>
              </w:rPr>
              <w:t>签名日期：</w:t>
            </w:r>
          </w:p>
        </w:tc>
      </w:tr>
    </w:tbl>
    <w:p>
      <w:pPr>
        <w:spacing w:line="360" w:lineRule="exact"/>
        <w:rPr>
          <w:rFonts w:ascii="Calibri" w:hAnsi="Calibri" w:eastAsia="黑体"/>
          <w:sz w:val="20"/>
        </w:rPr>
      </w:pPr>
    </w:p>
    <w:sectPr>
      <w:headerReference r:id="rId4" w:type="default"/>
      <w:footerReference r:id="rId5" w:type="default"/>
      <w:pgSz w:w="11906" w:h="16838"/>
      <w:pgMar w:top="1440" w:right="1080" w:bottom="1440" w:left="1080" w:header="851" w:footer="992" w:gutter="0"/>
      <w:pgBorders w:offsetFrom="page">
        <w:top w:val="dashDotStroked" w:color="00B0F0" w:sz="24" w:space="24"/>
        <w:left w:val="dashDotStroked" w:color="00B0F0" w:sz="24" w:space="24"/>
        <w:bottom w:val="dashDotStroked" w:color="00B0F0" w:sz="24" w:space="24"/>
        <w:right w:val="dashDotStroked" w:color="00B0F0" w:sz="24" w:space="24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AutoText"/>
        </w:docPartObj>
      </w:sdtPr>
      <w:sdtEndPr>
        <w:rPr>
          <w:rFonts w:ascii="Times New Roman" w:hAnsi="Times New Roman" w:cs="Times New Roman"/>
          <w:b/>
        </w:rPr>
      </w:sdtEndPr>
      <w:sdtContent>
        <w:r>
          <w:rPr>
            <w:rFonts w:ascii="Times New Roman" w:hAnsi="Times New Roman" w:cs="Times New Roman"/>
            <w:b/>
          </w:rPr>
          <w:fldChar w:fldCharType="begin"/>
        </w:r>
        <w:r>
          <w:rPr>
            <w:rFonts w:ascii="Times New Roman" w:hAnsi="Times New Roman" w:cs="Times New Roman"/>
            <w:b/>
          </w:rPr>
          <w:instrText xml:space="preserve">PAGE   \* MERGEFORMAT</w:instrText>
        </w:r>
        <w:r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  <w:lang w:val="zh-CN"/>
          </w:rPr>
          <w:t>4</w:t>
        </w:r>
        <w:r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>
    <w:pPr>
      <w:pStyle w:val="4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1419225" cy="445770"/>
          <wp:effectExtent l="0" t="0" r="0" b="0"/>
          <wp:wrapNone/>
          <wp:docPr id="1" name="图片 1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方正姚体" w:cs="Times New Roman"/>
        <w:sz w:val="18"/>
        <w:szCs w:val="18"/>
      </w:rPr>
    </w:pPr>
    <w:r>
      <w:rPr>
        <w:rFonts w:ascii="Times New Roman" w:hAnsi="Times New Roman" w:eastAsia="方正姚体" w:cs="Times New Roman"/>
        <w:sz w:val="18"/>
        <w:szCs w:val="18"/>
      </w:rPr>
      <w:t>欧盟科技创新实践夏季短期项目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方正姚体" w:cs="Times New Roman"/>
        <w:sz w:val="18"/>
        <w:szCs w:val="18"/>
      </w:rPr>
    </w:pPr>
    <w:r>
      <w:rPr>
        <w:rFonts w:ascii="Times New Roman" w:hAnsi="Times New Roman" w:eastAsia="方正姚体" w:cs="Times New Roman"/>
        <w:sz w:val="18"/>
        <w:szCs w:val="18"/>
      </w:rPr>
      <w:t>欧盟科技创新实践夏季短期项目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2D25"/>
    <w:multiLevelType w:val="multilevel"/>
    <w:tmpl w:val="133D2D25"/>
    <w:lvl w:ilvl="0" w:tentative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BF66D21"/>
    <w:multiLevelType w:val="multilevel"/>
    <w:tmpl w:val="1BF66D21"/>
    <w:lvl w:ilvl="0" w:tentative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33A242A"/>
    <w:multiLevelType w:val="multilevel"/>
    <w:tmpl w:val="233A242A"/>
    <w:lvl w:ilvl="0" w:tentative="0">
      <w:start w:val="1"/>
      <w:numFmt w:val="bullet"/>
      <w:suff w:val="space"/>
      <w:lvlText w:val="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47E3C55"/>
    <w:multiLevelType w:val="multilevel"/>
    <w:tmpl w:val="247E3C55"/>
    <w:lvl w:ilvl="0" w:tentative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5FF5FA0"/>
    <w:multiLevelType w:val="multilevel"/>
    <w:tmpl w:val="25FF5FA0"/>
    <w:lvl w:ilvl="0" w:tentative="0">
      <w:start w:val="1"/>
      <w:numFmt w:val="decimal"/>
      <w:suff w:val="space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A26064"/>
    <w:multiLevelType w:val="multilevel"/>
    <w:tmpl w:val="26A26064"/>
    <w:lvl w:ilvl="0" w:tentative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B663D6"/>
    <w:multiLevelType w:val="multilevel"/>
    <w:tmpl w:val="2DB663D6"/>
    <w:lvl w:ilvl="0" w:tentative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30CA7E90"/>
    <w:multiLevelType w:val="multilevel"/>
    <w:tmpl w:val="30CA7E9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E61446C"/>
    <w:multiLevelType w:val="multilevel"/>
    <w:tmpl w:val="3E61446C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795340"/>
    <w:multiLevelType w:val="multilevel"/>
    <w:tmpl w:val="4A795340"/>
    <w:lvl w:ilvl="0" w:tentative="0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A175D88"/>
    <w:multiLevelType w:val="multilevel"/>
    <w:tmpl w:val="5A175D88"/>
    <w:lvl w:ilvl="0" w:tentative="0">
      <w:start w:val="1"/>
      <w:numFmt w:val="bullet"/>
      <w:suff w:val="space"/>
      <w:lvlText w:val="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680C5E91"/>
    <w:multiLevelType w:val="multilevel"/>
    <w:tmpl w:val="680C5E91"/>
    <w:lvl w:ilvl="0" w:tentative="0">
      <w:start w:val="1"/>
      <w:numFmt w:val="bullet"/>
      <w:suff w:val="space"/>
      <w:lvlText w:val="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abstractNum w:abstractNumId="12">
    <w:nsid w:val="69FB1D77"/>
    <w:multiLevelType w:val="multilevel"/>
    <w:tmpl w:val="69FB1D77"/>
    <w:lvl w:ilvl="0" w:tentative="0">
      <w:start w:val="1"/>
      <w:numFmt w:val="bullet"/>
      <w:suff w:val="space"/>
      <w:lvlText w:val="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60" w:hanging="420"/>
      </w:pPr>
      <w:rPr>
        <w:rFonts w:hint="default" w:ascii="Wingdings" w:hAnsi="Wingdings"/>
      </w:rPr>
    </w:lvl>
  </w:abstractNum>
  <w:abstractNum w:abstractNumId="13">
    <w:nsid w:val="73832DCC"/>
    <w:multiLevelType w:val="multilevel"/>
    <w:tmpl w:val="73832DCC"/>
    <w:lvl w:ilvl="0" w:tentative="0">
      <w:start w:val="1"/>
      <w:numFmt w:val="bullet"/>
      <w:suff w:val="space"/>
      <w:lvlText w:val="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460" w:hanging="420"/>
      </w:pPr>
      <w:rPr>
        <w:rFonts w:hint="default" w:ascii="Wingdings" w:hAnsi="Wingdings"/>
      </w:rPr>
    </w:lvl>
  </w:abstractNum>
  <w:abstractNum w:abstractNumId="14">
    <w:nsid w:val="78477F14"/>
    <w:multiLevelType w:val="multilevel"/>
    <w:tmpl w:val="78477F14"/>
    <w:lvl w:ilvl="0" w:tentative="0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8F64FC5"/>
    <w:multiLevelType w:val="multilevel"/>
    <w:tmpl w:val="78F64FC5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4A8"/>
    <w:rsid w:val="000142EC"/>
    <w:rsid w:val="00040C5C"/>
    <w:rsid w:val="00060A20"/>
    <w:rsid w:val="00064404"/>
    <w:rsid w:val="00080F0E"/>
    <w:rsid w:val="00097350"/>
    <w:rsid w:val="000A144B"/>
    <w:rsid w:val="000C2581"/>
    <w:rsid w:val="000D06F8"/>
    <w:rsid w:val="000D2D8B"/>
    <w:rsid w:val="000D2EF1"/>
    <w:rsid w:val="000E3E82"/>
    <w:rsid w:val="000F666A"/>
    <w:rsid w:val="001131F9"/>
    <w:rsid w:val="001144A3"/>
    <w:rsid w:val="00143FE5"/>
    <w:rsid w:val="00162409"/>
    <w:rsid w:val="00162AB0"/>
    <w:rsid w:val="0017136E"/>
    <w:rsid w:val="00192B7C"/>
    <w:rsid w:val="00197E13"/>
    <w:rsid w:val="001C76FA"/>
    <w:rsid w:val="001C7FEB"/>
    <w:rsid w:val="001D2801"/>
    <w:rsid w:val="001F2B9A"/>
    <w:rsid w:val="00214A92"/>
    <w:rsid w:val="00214D90"/>
    <w:rsid w:val="00231D6A"/>
    <w:rsid w:val="00241FBA"/>
    <w:rsid w:val="002829BF"/>
    <w:rsid w:val="00295D70"/>
    <w:rsid w:val="002979E2"/>
    <w:rsid w:val="002B135C"/>
    <w:rsid w:val="002D2C4B"/>
    <w:rsid w:val="00304B22"/>
    <w:rsid w:val="00352721"/>
    <w:rsid w:val="00373D4F"/>
    <w:rsid w:val="00392B04"/>
    <w:rsid w:val="003A0A5C"/>
    <w:rsid w:val="003A1184"/>
    <w:rsid w:val="003B1F5F"/>
    <w:rsid w:val="003D05D4"/>
    <w:rsid w:val="003D6CE6"/>
    <w:rsid w:val="003F2018"/>
    <w:rsid w:val="00406FA5"/>
    <w:rsid w:val="0043124B"/>
    <w:rsid w:val="00453891"/>
    <w:rsid w:val="0047540B"/>
    <w:rsid w:val="00475C41"/>
    <w:rsid w:val="004B5A06"/>
    <w:rsid w:val="004C0532"/>
    <w:rsid w:val="004E18DC"/>
    <w:rsid w:val="004E3C8C"/>
    <w:rsid w:val="004E3E7C"/>
    <w:rsid w:val="004F1216"/>
    <w:rsid w:val="00515D2A"/>
    <w:rsid w:val="00520A30"/>
    <w:rsid w:val="005300D7"/>
    <w:rsid w:val="00541CB7"/>
    <w:rsid w:val="005652A3"/>
    <w:rsid w:val="00565B15"/>
    <w:rsid w:val="005734B2"/>
    <w:rsid w:val="005820D4"/>
    <w:rsid w:val="005A7484"/>
    <w:rsid w:val="005B50D4"/>
    <w:rsid w:val="005C0EF0"/>
    <w:rsid w:val="005D1B09"/>
    <w:rsid w:val="005F4109"/>
    <w:rsid w:val="00607AD4"/>
    <w:rsid w:val="0061242E"/>
    <w:rsid w:val="006641A2"/>
    <w:rsid w:val="00670798"/>
    <w:rsid w:val="00673414"/>
    <w:rsid w:val="00675B81"/>
    <w:rsid w:val="00676AA2"/>
    <w:rsid w:val="006A6864"/>
    <w:rsid w:val="006A7A6E"/>
    <w:rsid w:val="006D46E3"/>
    <w:rsid w:val="006E542F"/>
    <w:rsid w:val="006F1943"/>
    <w:rsid w:val="006F289E"/>
    <w:rsid w:val="00701682"/>
    <w:rsid w:val="00723486"/>
    <w:rsid w:val="0076143C"/>
    <w:rsid w:val="00786B04"/>
    <w:rsid w:val="007A221D"/>
    <w:rsid w:val="007C464A"/>
    <w:rsid w:val="007F542E"/>
    <w:rsid w:val="00831BDE"/>
    <w:rsid w:val="00835000"/>
    <w:rsid w:val="00845D00"/>
    <w:rsid w:val="0086537E"/>
    <w:rsid w:val="00877D78"/>
    <w:rsid w:val="008960AC"/>
    <w:rsid w:val="008B2FEE"/>
    <w:rsid w:val="008C3C84"/>
    <w:rsid w:val="008F4575"/>
    <w:rsid w:val="00910A1C"/>
    <w:rsid w:val="00916C7F"/>
    <w:rsid w:val="00943EC1"/>
    <w:rsid w:val="00950A26"/>
    <w:rsid w:val="00951577"/>
    <w:rsid w:val="0097240D"/>
    <w:rsid w:val="009732E2"/>
    <w:rsid w:val="00977AE3"/>
    <w:rsid w:val="009F75FD"/>
    <w:rsid w:val="00A42863"/>
    <w:rsid w:val="00A460F5"/>
    <w:rsid w:val="00A92EDE"/>
    <w:rsid w:val="00AD54A8"/>
    <w:rsid w:val="00AF1513"/>
    <w:rsid w:val="00B05F01"/>
    <w:rsid w:val="00B1318F"/>
    <w:rsid w:val="00B23266"/>
    <w:rsid w:val="00B46237"/>
    <w:rsid w:val="00B60B02"/>
    <w:rsid w:val="00B65101"/>
    <w:rsid w:val="00B83AB6"/>
    <w:rsid w:val="00B9585E"/>
    <w:rsid w:val="00BE74F2"/>
    <w:rsid w:val="00C1313F"/>
    <w:rsid w:val="00C34DF0"/>
    <w:rsid w:val="00C37803"/>
    <w:rsid w:val="00C4242D"/>
    <w:rsid w:val="00C46A00"/>
    <w:rsid w:val="00C50E5D"/>
    <w:rsid w:val="00C81DD8"/>
    <w:rsid w:val="00C85B56"/>
    <w:rsid w:val="00C9603E"/>
    <w:rsid w:val="00CD0BB2"/>
    <w:rsid w:val="00CE4D83"/>
    <w:rsid w:val="00CF2C4A"/>
    <w:rsid w:val="00CF542F"/>
    <w:rsid w:val="00D02D48"/>
    <w:rsid w:val="00D031BA"/>
    <w:rsid w:val="00D40520"/>
    <w:rsid w:val="00D54332"/>
    <w:rsid w:val="00D5465A"/>
    <w:rsid w:val="00D5597F"/>
    <w:rsid w:val="00D91EE6"/>
    <w:rsid w:val="00D96A2E"/>
    <w:rsid w:val="00DA761D"/>
    <w:rsid w:val="00DC39A7"/>
    <w:rsid w:val="00DF237A"/>
    <w:rsid w:val="00E04442"/>
    <w:rsid w:val="00E21C59"/>
    <w:rsid w:val="00E3484B"/>
    <w:rsid w:val="00E43E95"/>
    <w:rsid w:val="00E67132"/>
    <w:rsid w:val="00E67408"/>
    <w:rsid w:val="00E91745"/>
    <w:rsid w:val="00EA2738"/>
    <w:rsid w:val="00EC334C"/>
    <w:rsid w:val="00EE14A5"/>
    <w:rsid w:val="00EF712B"/>
    <w:rsid w:val="00F157D3"/>
    <w:rsid w:val="00F355BE"/>
    <w:rsid w:val="00F45056"/>
    <w:rsid w:val="00F53F86"/>
    <w:rsid w:val="00F6495E"/>
    <w:rsid w:val="00F70FED"/>
    <w:rsid w:val="00FD3F12"/>
    <w:rsid w:val="00FD6253"/>
    <w:rsid w:val="00FE515A"/>
    <w:rsid w:val="4AE72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uiPriority w:val="99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toc 1"/>
    <w:basedOn w:val="1"/>
    <w:next w:val="1"/>
    <w:unhideWhenUsed/>
    <w:uiPriority w:val="3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页眉 Char"/>
    <w:basedOn w:val="7"/>
    <w:link w:val="5"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sz w:val="18"/>
      <w:szCs w:val="18"/>
    </w:rPr>
  </w:style>
  <w:style w:type="character" w:customStyle="1" w:styleId="15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17">
    <w:name w:val="批注框文本 Char"/>
    <w:basedOn w:val="7"/>
    <w:link w:val="3"/>
    <w:semiHidden/>
    <w:uiPriority w:val="99"/>
    <w:rPr>
      <w:rFonts w:ascii="宋体" w:eastAsia="宋体"/>
      <w:sz w:val="18"/>
      <w:szCs w:val="18"/>
    </w:rPr>
  </w:style>
  <w:style w:type="table" w:customStyle="1" w:styleId="18">
    <w:name w:val="网格表 5 深色 - 着色 51"/>
    <w:basedOn w:val="10"/>
    <w:qFormat/>
    <w:uiPriority w:val="50"/>
    <w:rPr>
      <w:kern w:val="0"/>
      <w:sz w:val="22"/>
      <w:lang w:val="fr-FR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E0CD7-F17A-48DA-A8EB-64950BBAB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792</Words>
  <Characters>4517</Characters>
  <Lines>37</Lines>
  <Paragraphs>10</Paragraphs>
  <TotalTime>20</TotalTime>
  <ScaleCrop>false</ScaleCrop>
  <LinksUpToDate>false</LinksUpToDate>
  <CharactersWithSpaces>5299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2019-02-25T08:18:00Z</dcterms:created>
  <dc:creator>tan</dc:creator>
  <cp:lastModifiedBy>xiangfei</cp:lastModifiedBy>
  <cp:lastPrinted>2019-02-21T01:30:00Z</cp:lastPrinted>
  <dcterms:modified xsi:type="dcterms:W3CDTF">2019-03-03T01:36:01Z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